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CC60" w14:textId="54DD16D9" w:rsidR="000611C6" w:rsidRPr="000611C6" w:rsidRDefault="000611C6" w:rsidP="000611C6">
      <w:pPr>
        <w:pStyle w:val="NoSpacing"/>
        <w:contextualSpacing/>
        <w:jc w:val="both"/>
        <w:rPr>
          <w:rFonts w:ascii="Arial" w:hAnsi="Arial" w:cs="Arial"/>
          <w:b/>
          <w:sz w:val="28"/>
          <w:szCs w:val="28"/>
          <w:lang w:val="en-GB"/>
        </w:rPr>
      </w:pPr>
      <w:r w:rsidRPr="000611C6">
        <w:rPr>
          <w:rFonts w:ascii="Arial" w:hAnsi="Arial" w:cs="Arial"/>
          <w:b/>
          <w:sz w:val="28"/>
          <w:szCs w:val="28"/>
          <w:lang w:val="en-GB"/>
        </w:rPr>
        <w:t>3GPP TSG RAN WG4 #11</w:t>
      </w:r>
      <w:r w:rsidR="00BA34DB">
        <w:rPr>
          <w:rFonts w:ascii="Arial" w:hAnsi="Arial" w:cs="Arial"/>
          <w:b/>
          <w:sz w:val="28"/>
          <w:szCs w:val="28"/>
          <w:lang w:val="en-GB"/>
        </w:rPr>
        <w:t>4</w:t>
      </w:r>
      <w:r w:rsidR="00A652EE">
        <w:rPr>
          <w:rFonts w:ascii="Arial" w:hAnsi="Arial" w:cs="Arial"/>
          <w:b/>
          <w:sz w:val="28"/>
          <w:szCs w:val="28"/>
          <w:lang w:val="en-GB"/>
        </w:rPr>
        <w:t>-bis</w:t>
      </w:r>
      <w:r w:rsidRPr="000611C6">
        <w:rPr>
          <w:rFonts w:ascii="Arial" w:hAnsi="Arial" w:cs="Arial"/>
          <w:b/>
          <w:sz w:val="28"/>
          <w:szCs w:val="28"/>
          <w:lang w:val="en-GB"/>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sidRPr="000611C6">
        <w:rPr>
          <w:rFonts w:ascii="Arial" w:hAnsi="Arial" w:cs="Arial"/>
          <w:b/>
          <w:sz w:val="28"/>
          <w:szCs w:val="28"/>
          <w:lang w:val="en-GB" w:eastAsia="zh-CN"/>
        </w:rPr>
        <w:tab/>
      </w:r>
      <w:r>
        <w:rPr>
          <w:rFonts w:ascii="Arial" w:hAnsi="Arial" w:cs="Arial"/>
          <w:b/>
          <w:sz w:val="28"/>
          <w:szCs w:val="28"/>
          <w:lang w:val="en-GB" w:eastAsia="zh-CN"/>
        </w:rPr>
        <w:t xml:space="preserve">     </w:t>
      </w:r>
      <w:r w:rsidR="00A652EE">
        <w:rPr>
          <w:rFonts w:ascii="Arial" w:hAnsi="Arial" w:cs="Arial"/>
          <w:b/>
          <w:sz w:val="28"/>
          <w:szCs w:val="28"/>
          <w:lang w:val="en-GB" w:eastAsia="zh-CN"/>
        </w:rPr>
        <w:t xml:space="preserve"> </w:t>
      </w:r>
      <w:r w:rsidR="00442612" w:rsidRPr="00442612">
        <w:rPr>
          <w:rFonts w:ascii="Arial" w:hAnsi="Arial" w:cs="Arial"/>
          <w:b/>
          <w:sz w:val="28"/>
          <w:szCs w:val="28"/>
          <w:lang w:val="en-GB"/>
        </w:rPr>
        <w:t>R4-</w:t>
      </w:r>
      <w:r w:rsidR="00DD48E0">
        <w:rPr>
          <w:rFonts w:ascii="Arial" w:hAnsi="Arial" w:cs="Arial"/>
          <w:b/>
          <w:sz w:val="28"/>
          <w:szCs w:val="28"/>
          <w:lang w:val="en-GB"/>
        </w:rPr>
        <w:t>2503709</w:t>
      </w:r>
    </w:p>
    <w:p w14:paraId="68BB5185" w14:textId="45AFD341" w:rsidR="000611C6" w:rsidRPr="00E913CF" w:rsidRDefault="00A652EE" w:rsidP="000611C6">
      <w:pPr>
        <w:pStyle w:val="NoSpacing"/>
        <w:contextualSpacing/>
        <w:jc w:val="both"/>
        <w:rPr>
          <w:rFonts w:ascii="Arial" w:hAnsi="Arial" w:cs="Arial"/>
          <w:b/>
          <w:sz w:val="28"/>
          <w:szCs w:val="28"/>
        </w:rPr>
      </w:pPr>
      <w:r>
        <w:rPr>
          <w:rFonts w:ascii="Arial" w:hAnsi="Arial" w:cs="Arial"/>
          <w:b/>
          <w:sz w:val="28"/>
          <w:szCs w:val="28"/>
        </w:rPr>
        <w:t>Wuhan</w:t>
      </w:r>
      <w:r w:rsidR="00442612" w:rsidRPr="00442612">
        <w:rPr>
          <w:rFonts w:ascii="Arial" w:hAnsi="Arial" w:cs="Arial"/>
          <w:b/>
          <w:sz w:val="28"/>
          <w:szCs w:val="28"/>
        </w:rPr>
        <w:t xml:space="preserve">, </w:t>
      </w:r>
      <w:r>
        <w:rPr>
          <w:rFonts w:ascii="Arial" w:hAnsi="Arial" w:cs="Arial"/>
          <w:b/>
          <w:sz w:val="28"/>
          <w:szCs w:val="28"/>
        </w:rPr>
        <w:t>China</w:t>
      </w:r>
      <w:r w:rsidR="00442612" w:rsidRPr="00442612">
        <w:rPr>
          <w:rFonts w:ascii="Arial" w:hAnsi="Arial" w:cs="Arial"/>
          <w:b/>
          <w:sz w:val="28"/>
          <w:szCs w:val="28"/>
        </w:rPr>
        <w:t>,</w:t>
      </w:r>
      <w:r w:rsidR="00BA34DB">
        <w:rPr>
          <w:rFonts w:ascii="Arial" w:hAnsi="Arial" w:cs="Arial"/>
          <w:b/>
          <w:sz w:val="28"/>
          <w:szCs w:val="28"/>
        </w:rPr>
        <w:t xml:space="preserve"> </w:t>
      </w:r>
      <w:r w:rsidR="004D21D1">
        <w:rPr>
          <w:rFonts w:ascii="Arial" w:hAnsi="Arial" w:cs="Arial"/>
          <w:b/>
          <w:sz w:val="28"/>
          <w:szCs w:val="28"/>
        </w:rPr>
        <w:t>April</w:t>
      </w:r>
      <w:r w:rsidR="00BA34DB">
        <w:rPr>
          <w:rFonts w:ascii="Arial" w:hAnsi="Arial" w:cs="Arial"/>
          <w:b/>
          <w:sz w:val="28"/>
          <w:szCs w:val="28"/>
        </w:rPr>
        <w:t xml:space="preserve"> </w:t>
      </w:r>
      <w:r w:rsidR="000470B2">
        <w:rPr>
          <w:rFonts w:ascii="Arial" w:hAnsi="Arial" w:cs="Arial"/>
          <w:b/>
          <w:sz w:val="28"/>
          <w:szCs w:val="28"/>
        </w:rPr>
        <w:t>7</w:t>
      </w:r>
      <w:r w:rsidR="00442612" w:rsidRPr="00442612">
        <w:rPr>
          <w:rFonts w:ascii="Arial" w:hAnsi="Arial" w:cs="Arial"/>
          <w:b/>
          <w:sz w:val="28"/>
          <w:szCs w:val="28"/>
        </w:rPr>
        <w:t xml:space="preserve">th – </w:t>
      </w:r>
      <w:r w:rsidR="004D21D1">
        <w:rPr>
          <w:rFonts w:ascii="Arial" w:hAnsi="Arial" w:cs="Arial"/>
          <w:b/>
          <w:sz w:val="28"/>
          <w:szCs w:val="28"/>
        </w:rPr>
        <w:t>11th</w:t>
      </w:r>
      <w:r w:rsidR="00442612" w:rsidRPr="00442612">
        <w:rPr>
          <w:rFonts w:ascii="Arial" w:hAnsi="Arial" w:cs="Arial"/>
          <w:b/>
          <w:sz w:val="28"/>
          <w:szCs w:val="28"/>
        </w:rPr>
        <w:t>, 202</w:t>
      </w:r>
      <w:r w:rsidR="000470B2">
        <w:rPr>
          <w:rFonts w:ascii="Arial" w:hAnsi="Arial" w:cs="Arial"/>
          <w:b/>
          <w:sz w:val="28"/>
          <w:szCs w:val="28"/>
        </w:rPr>
        <w:t>5</w:t>
      </w:r>
    </w:p>
    <w:p w14:paraId="75334291" w14:textId="77777777" w:rsidR="000611C6" w:rsidRPr="000D3066" w:rsidRDefault="000611C6" w:rsidP="000611C6">
      <w:pPr>
        <w:pStyle w:val="NoSpacing"/>
        <w:contextualSpacing/>
        <w:jc w:val="both"/>
        <w:rPr>
          <w:rFonts w:ascii="Arial" w:hAnsi="Arial" w:cs="Arial"/>
          <w:b/>
          <w:sz w:val="24"/>
          <w:szCs w:val="24"/>
          <w:lang w:eastAsia="zh-CN"/>
        </w:rPr>
      </w:pPr>
    </w:p>
    <w:p w14:paraId="4A8D9A0E" w14:textId="77777777" w:rsidR="000611C6" w:rsidRPr="000D3066" w:rsidRDefault="000611C6" w:rsidP="000611C6">
      <w:pPr>
        <w:pStyle w:val="NoSpacing"/>
        <w:contextualSpacing/>
        <w:jc w:val="both"/>
        <w:rPr>
          <w:rFonts w:ascii="Arial" w:hAnsi="Arial" w:cs="Arial"/>
          <w:b/>
          <w:sz w:val="24"/>
          <w:szCs w:val="24"/>
          <w:lang w:eastAsia="zh-CN"/>
        </w:rPr>
      </w:pPr>
    </w:p>
    <w:p w14:paraId="355BDBC9" w14:textId="156B59DC" w:rsidR="000611C6" w:rsidRPr="004D0032" w:rsidRDefault="000611C6" w:rsidP="000611C6">
      <w:pPr>
        <w:pStyle w:val="NoSpacing"/>
        <w:contextualSpacing/>
        <w:jc w:val="both"/>
        <w:rPr>
          <w:rFonts w:ascii="Arial" w:hAnsi="Arial" w:cs="Arial"/>
          <w:b/>
          <w:sz w:val="24"/>
          <w:szCs w:val="24"/>
          <w:lang w:val="pt-PT" w:eastAsia="zh-CN"/>
        </w:rPr>
      </w:pPr>
      <w:r w:rsidRPr="004D0032">
        <w:rPr>
          <w:rFonts w:ascii="Arial" w:hAnsi="Arial" w:cs="Arial"/>
          <w:b/>
          <w:sz w:val="24"/>
          <w:szCs w:val="24"/>
          <w:lang w:val="pt-PT"/>
        </w:rPr>
        <w:t>Agenda Item:</w:t>
      </w:r>
      <w:r w:rsidRPr="004D0032">
        <w:rPr>
          <w:rFonts w:ascii="Arial" w:hAnsi="Arial" w:cs="Arial"/>
          <w:b/>
          <w:sz w:val="24"/>
          <w:szCs w:val="24"/>
          <w:lang w:val="pt-PT"/>
        </w:rPr>
        <w:tab/>
      </w:r>
      <w:r w:rsidRPr="004D0032">
        <w:rPr>
          <w:rFonts w:ascii="Arial" w:hAnsi="Arial" w:cs="Arial"/>
          <w:b/>
          <w:sz w:val="24"/>
          <w:szCs w:val="24"/>
          <w:lang w:val="pt-PT"/>
        </w:rPr>
        <w:tab/>
      </w:r>
      <w:r w:rsidR="00DD48E0">
        <w:rPr>
          <w:rFonts w:ascii="Arial" w:hAnsi="Arial" w:cs="Arial"/>
          <w:b/>
          <w:sz w:val="24"/>
          <w:szCs w:val="24"/>
          <w:lang w:val="pt-PT"/>
        </w:rPr>
        <w:t>6.15.1</w:t>
      </w:r>
    </w:p>
    <w:p w14:paraId="200B798D" w14:textId="0620DCAA" w:rsidR="000611C6" w:rsidRPr="002F54F4" w:rsidRDefault="000611C6" w:rsidP="000611C6">
      <w:pPr>
        <w:pStyle w:val="NoSpacing"/>
        <w:contextualSpacing/>
        <w:jc w:val="both"/>
        <w:rPr>
          <w:rFonts w:ascii="Arial" w:eastAsia="SimSun" w:hAnsi="Arial" w:cs="Arial"/>
          <w:b/>
          <w:sz w:val="24"/>
          <w:szCs w:val="24"/>
          <w:lang w:val="en-GB"/>
        </w:rPr>
      </w:pPr>
      <w:r w:rsidRPr="002F54F4">
        <w:rPr>
          <w:rFonts w:ascii="Arial" w:hAnsi="Arial" w:cs="Arial"/>
          <w:b/>
          <w:sz w:val="24"/>
          <w:szCs w:val="24"/>
          <w:lang w:val="en-GB"/>
        </w:rPr>
        <w:t>Source:</w:t>
      </w:r>
      <w:r w:rsidRPr="002F54F4">
        <w:rPr>
          <w:rFonts w:ascii="Arial" w:hAnsi="Arial" w:cs="Arial"/>
          <w:b/>
          <w:sz w:val="24"/>
          <w:szCs w:val="24"/>
          <w:lang w:val="en-GB"/>
        </w:rPr>
        <w:tab/>
      </w:r>
      <w:r w:rsidRPr="002F54F4">
        <w:rPr>
          <w:rFonts w:ascii="Arial" w:hAnsi="Arial" w:cs="Arial"/>
          <w:b/>
          <w:sz w:val="24"/>
          <w:szCs w:val="24"/>
          <w:lang w:val="en-GB"/>
        </w:rPr>
        <w:tab/>
      </w:r>
      <w:r w:rsidRPr="002F54F4">
        <w:rPr>
          <w:rFonts w:ascii="Arial" w:hAnsi="Arial" w:cs="Arial"/>
          <w:b/>
          <w:sz w:val="24"/>
          <w:szCs w:val="24"/>
          <w:lang w:val="en-GB"/>
        </w:rPr>
        <w:tab/>
      </w:r>
      <w:r w:rsidRPr="002F54F4">
        <w:rPr>
          <w:rFonts w:ascii="Arial" w:hAnsi="Arial" w:cs="Arial"/>
          <w:b/>
          <w:sz w:val="24"/>
          <w:szCs w:val="24"/>
          <w:lang w:val="en-GB"/>
        </w:rPr>
        <w:tab/>
      </w:r>
      <w:r w:rsidR="00C34DFF" w:rsidRPr="002F54F4">
        <w:rPr>
          <w:rFonts w:ascii="Arial" w:hAnsi="Arial" w:cs="Arial"/>
          <w:b/>
          <w:sz w:val="24"/>
          <w:szCs w:val="24"/>
          <w:lang w:val="en-GB"/>
        </w:rPr>
        <w:t>Via</w:t>
      </w:r>
      <w:r w:rsidR="002F54F4" w:rsidRPr="002F54F4">
        <w:rPr>
          <w:rFonts w:ascii="Arial" w:hAnsi="Arial" w:cs="Arial"/>
          <w:b/>
          <w:sz w:val="24"/>
          <w:szCs w:val="24"/>
          <w:lang w:val="en-GB"/>
        </w:rPr>
        <w:t>S</w:t>
      </w:r>
      <w:r w:rsidR="00C34DFF" w:rsidRPr="002F54F4">
        <w:rPr>
          <w:rFonts w:ascii="Arial" w:hAnsi="Arial" w:cs="Arial"/>
          <w:b/>
          <w:sz w:val="24"/>
          <w:szCs w:val="24"/>
          <w:lang w:val="en-GB"/>
        </w:rPr>
        <w:t>at</w:t>
      </w:r>
      <w:r w:rsidR="002F54F4" w:rsidRPr="002F54F4">
        <w:rPr>
          <w:rFonts w:ascii="Arial" w:hAnsi="Arial" w:cs="Arial"/>
          <w:b/>
          <w:sz w:val="24"/>
          <w:szCs w:val="24"/>
          <w:lang w:val="en-GB"/>
        </w:rPr>
        <w:t xml:space="preserve"> Holdings Ltd, I</w:t>
      </w:r>
      <w:r w:rsidR="002F54F4">
        <w:rPr>
          <w:rFonts w:ascii="Arial" w:hAnsi="Arial" w:cs="Arial"/>
          <w:b/>
          <w:sz w:val="24"/>
          <w:szCs w:val="24"/>
          <w:lang w:val="en-GB"/>
        </w:rPr>
        <w:t>nmarsat</w:t>
      </w:r>
    </w:p>
    <w:p w14:paraId="7342CD4B" w14:textId="7B594691" w:rsidR="000611C6"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0470B2">
        <w:rPr>
          <w:rFonts w:ascii="Arial" w:hAnsi="Arial" w:cs="Arial"/>
          <w:b/>
          <w:sz w:val="24"/>
          <w:szCs w:val="24"/>
          <w:lang w:val="en-GB"/>
        </w:rPr>
        <w:t>Capturing of L-band Regulatory Requirements</w:t>
      </w:r>
    </w:p>
    <w:p w14:paraId="64CAA37D" w14:textId="5631A31E" w:rsidR="000611C6" w:rsidRPr="007B491C" w:rsidRDefault="000611C6" w:rsidP="000611C6">
      <w:pPr>
        <w:pStyle w:val="NoSpacing"/>
        <w:ind w:left="2010" w:hanging="2010"/>
        <w:contextualSpacing/>
        <w:jc w:val="both"/>
        <w:rPr>
          <w:rFonts w:ascii="Arial"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Pr>
          <w:rFonts w:ascii="Arial" w:hAnsi="Arial" w:cs="Arial"/>
          <w:b/>
          <w:sz w:val="24"/>
          <w:szCs w:val="24"/>
        </w:rPr>
        <w:t>Discussion</w:t>
      </w:r>
    </w:p>
    <w:p w14:paraId="4CEEEC51" w14:textId="77777777" w:rsidR="000611C6" w:rsidRDefault="000611C6" w:rsidP="000611C6"/>
    <w:p w14:paraId="04ECCD93" w14:textId="77777777" w:rsidR="000611C6" w:rsidRPr="00626FD8" w:rsidRDefault="000611C6" w:rsidP="005F7910">
      <w:pPr>
        <w:pStyle w:val="Heading1"/>
      </w:pPr>
      <w:r w:rsidRPr="00626FD8">
        <w:t>Background</w:t>
      </w:r>
    </w:p>
    <w:p w14:paraId="42BF4FA2" w14:textId="54D859A4" w:rsidR="000611C6" w:rsidRPr="00F61AF1" w:rsidRDefault="00F61AF1" w:rsidP="00F61AF1">
      <w:r>
        <w:t>The intent of this paper is to provide</w:t>
      </w:r>
      <w:r w:rsidR="001B01A4">
        <w:t xml:space="preserve"> additional</w:t>
      </w:r>
      <w:r w:rsidR="00F71F80">
        <w:t xml:space="preserve"> </w:t>
      </w:r>
      <w:r w:rsidR="00BA592C">
        <w:t>re</w:t>
      </w:r>
      <w:r w:rsidR="005179BA">
        <w:t xml:space="preserve">gulatory information pertaining to </w:t>
      </w:r>
      <w:r w:rsidR="00331096">
        <w:t>the existing L-band</w:t>
      </w:r>
      <w:r w:rsidR="007C4B8E">
        <w:t xml:space="preserve"> n</w:t>
      </w:r>
      <w:r w:rsidR="00331096">
        <w:t xml:space="preserve">255, </w:t>
      </w:r>
      <w:r w:rsidR="007C4B8E">
        <w:t>b</w:t>
      </w:r>
      <w:r w:rsidR="00331096">
        <w:t>25</w:t>
      </w:r>
      <w:r w:rsidR="007C4B8E">
        <w:t>5, b253</w:t>
      </w:r>
      <w:r w:rsidR="00331096">
        <w:t xml:space="preserve"> and the </w:t>
      </w:r>
      <w:r w:rsidR="007C4B8E">
        <w:t xml:space="preserve">upcoming L-bands n253, n251, n250. Also suggesting how these requirements can be captured within the </w:t>
      </w:r>
      <w:r w:rsidR="004D21D1">
        <w:t>specification, and challenges associated with this</w:t>
      </w:r>
      <w:r w:rsidR="00D41EA0">
        <w:t xml:space="preserve"> including the protection of Radio Astronomy (RA) stations.</w:t>
      </w:r>
    </w:p>
    <w:p w14:paraId="405EE0E1" w14:textId="37E21F61" w:rsidR="000611C6" w:rsidRPr="00626FD8" w:rsidRDefault="00C12A23" w:rsidP="00321C1E">
      <w:pPr>
        <w:pStyle w:val="Heading1"/>
      </w:pPr>
      <w:r w:rsidRPr="00626FD8">
        <w:t xml:space="preserve">Regulatory </w:t>
      </w:r>
      <w:r w:rsidR="00E36340" w:rsidRPr="00626FD8">
        <w:t>Information</w:t>
      </w:r>
    </w:p>
    <w:p w14:paraId="5A42D506" w14:textId="685F6AB3" w:rsidR="008A0ECF" w:rsidRDefault="00AF1CD1" w:rsidP="008A0ECF">
      <w:pPr>
        <w:pStyle w:val="Caption"/>
        <w:keepNext/>
        <w:rPr>
          <w:b w:val="0"/>
          <w:bCs w:val="0"/>
        </w:rPr>
      </w:pPr>
      <w:r w:rsidRPr="00AF1CD1">
        <w:rPr>
          <w:b w:val="0"/>
          <w:bCs w:val="0"/>
        </w:rPr>
        <w:t>The ETSI EN 301 681 harmonised standard capt</w:t>
      </w:r>
      <w:r>
        <w:rPr>
          <w:b w:val="0"/>
          <w:bCs w:val="0"/>
        </w:rPr>
        <w:t xml:space="preserve">ures regulatory </w:t>
      </w:r>
      <w:r w:rsidR="006F290B">
        <w:rPr>
          <w:b w:val="0"/>
          <w:bCs w:val="0"/>
        </w:rPr>
        <w:t>requirements</w:t>
      </w:r>
      <w:r>
        <w:rPr>
          <w:b w:val="0"/>
          <w:bCs w:val="0"/>
        </w:rPr>
        <w:t xml:space="preserve"> for L-band communications</w:t>
      </w:r>
      <w:r w:rsidR="006F290B">
        <w:rPr>
          <w:b w:val="0"/>
          <w:bCs w:val="0"/>
        </w:rPr>
        <w:t xml:space="preserve">. Of particular interest within these standards, are the </w:t>
      </w:r>
      <w:r w:rsidR="00D146EF">
        <w:rPr>
          <w:b w:val="0"/>
          <w:bCs w:val="0"/>
        </w:rPr>
        <w:t>spectrum emissions requirements mandated for out-of-band and in-band</w:t>
      </w:r>
      <w:r w:rsidR="009E490C">
        <w:rPr>
          <w:b w:val="0"/>
          <w:bCs w:val="0"/>
        </w:rPr>
        <w:t xml:space="preserve">, and the radio astronomy protection requirements when </w:t>
      </w:r>
      <w:r w:rsidR="00363E95">
        <w:rPr>
          <w:b w:val="0"/>
          <w:bCs w:val="0"/>
        </w:rPr>
        <w:t xml:space="preserve">operating within these bands. </w:t>
      </w:r>
      <w:r w:rsidR="008A0ECF">
        <w:rPr>
          <w:b w:val="0"/>
          <w:bCs w:val="0"/>
        </w:rPr>
        <w:t>These requirements must be met before over-the-air operation can occur within any of the L-band. The</w:t>
      </w:r>
      <w:r w:rsidR="00D45511">
        <w:rPr>
          <w:b w:val="0"/>
          <w:bCs w:val="0"/>
        </w:rPr>
        <w:t xml:space="preserve"> frequency bands covered by ETSI EN 301 681 are</w:t>
      </w:r>
      <w:r w:rsidR="008A0ECF">
        <w:rPr>
          <w:b w:val="0"/>
          <w:bCs w:val="0"/>
        </w:rPr>
        <w:t xml:space="preserve"> defined as follows:</w:t>
      </w:r>
    </w:p>
    <w:tbl>
      <w:tblPr>
        <w:tblStyle w:val="TableGrid"/>
        <w:tblW w:w="0" w:type="auto"/>
        <w:tblLook w:val="04A0" w:firstRow="1" w:lastRow="0" w:firstColumn="1" w:lastColumn="0" w:noHBand="0" w:noVBand="1"/>
      </w:tblPr>
      <w:tblGrid>
        <w:gridCol w:w="3209"/>
        <w:gridCol w:w="3210"/>
        <w:gridCol w:w="3210"/>
      </w:tblGrid>
      <w:tr w:rsidR="00487CDF" w14:paraId="4291037A" w14:textId="77777777" w:rsidTr="00487CDF">
        <w:tc>
          <w:tcPr>
            <w:tcW w:w="3209" w:type="dxa"/>
          </w:tcPr>
          <w:p w14:paraId="3FE35E0A" w14:textId="45991FBD" w:rsidR="00487CDF" w:rsidRPr="00EF3FBF" w:rsidRDefault="00EF3FBF" w:rsidP="00EF3FBF">
            <w:pPr>
              <w:jc w:val="center"/>
              <w:rPr>
                <w:b/>
                <w:bCs/>
              </w:rPr>
            </w:pPr>
            <w:r>
              <w:rPr>
                <w:b/>
                <w:bCs/>
              </w:rPr>
              <w:t>Sub-band</w:t>
            </w:r>
          </w:p>
        </w:tc>
        <w:tc>
          <w:tcPr>
            <w:tcW w:w="3210" w:type="dxa"/>
          </w:tcPr>
          <w:p w14:paraId="109B8AB7" w14:textId="78AE6632" w:rsidR="00487CDF" w:rsidRPr="00EF3FBF" w:rsidRDefault="00EF3FBF" w:rsidP="00EF3FBF">
            <w:pPr>
              <w:jc w:val="center"/>
              <w:rPr>
                <w:b/>
                <w:bCs/>
              </w:rPr>
            </w:pPr>
            <w:r>
              <w:rPr>
                <w:b/>
                <w:bCs/>
              </w:rPr>
              <w:t>Transmission path</w:t>
            </w:r>
          </w:p>
        </w:tc>
        <w:tc>
          <w:tcPr>
            <w:tcW w:w="3210" w:type="dxa"/>
          </w:tcPr>
          <w:p w14:paraId="3A25433B" w14:textId="4C5BCFBD" w:rsidR="00487CDF" w:rsidRPr="00EF3FBF" w:rsidRDefault="00EF3FBF" w:rsidP="00EF3FBF">
            <w:pPr>
              <w:jc w:val="center"/>
              <w:rPr>
                <w:b/>
                <w:bCs/>
              </w:rPr>
            </w:pPr>
            <w:r w:rsidRPr="00EF3FBF">
              <w:rPr>
                <w:b/>
                <w:bCs/>
              </w:rPr>
              <w:t>MSS frequency band</w:t>
            </w:r>
          </w:p>
        </w:tc>
      </w:tr>
      <w:tr w:rsidR="00487CDF" w14:paraId="669A623A" w14:textId="77777777" w:rsidTr="00487CDF">
        <w:tc>
          <w:tcPr>
            <w:tcW w:w="3209" w:type="dxa"/>
            <w:vMerge w:val="restart"/>
          </w:tcPr>
          <w:p w14:paraId="503F3F61" w14:textId="36D1F437" w:rsidR="00487CDF" w:rsidRDefault="00EF3FBF" w:rsidP="00EF3FBF">
            <w:pPr>
              <w:jc w:val="center"/>
            </w:pPr>
            <w:r>
              <w:t>1</w:t>
            </w:r>
          </w:p>
        </w:tc>
        <w:tc>
          <w:tcPr>
            <w:tcW w:w="3210" w:type="dxa"/>
          </w:tcPr>
          <w:p w14:paraId="256F40D6" w14:textId="54F84D0E" w:rsidR="00487CDF" w:rsidRDefault="00EF3FBF" w:rsidP="00EF3FBF">
            <w:pPr>
              <w:jc w:val="center"/>
            </w:pPr>
            <w:r>
              <w:t>MESs transmit 1</w:t>
            </w:r>
          </w:p>
        </w:tc>
        <w:tc>
          <w:tcPr>
            <w:tcW w:w="3210" w:type="dxa"/>
          </w:tcPr>
          <w:p w14:paraId="381707FE" w14:textId="196EAFA5" w:rsidR="00487CDF" w:rsidRDefault="00D45511" w:rsidP="00AC7CBA">
            <w:pPr>
              <w:jc w:val="center"/>
            </w:pPr>
            <w:r>
              <w:t>1626,5 MHz</w:t>
            </w:r>
            <w:r w:rsidR="00AC7CBA">
              <w:t xml:space="preserve"> to 1660,5 MHz</w:t>
            </w:r>
          </w:p>
        </w:tc>
      </w:tr>
      <w:tr w:rsidR="00487CDF" w14:paraId="6D589562" w14:textId="77777777" w:rsidTr="00487CDF">
        <w:tc>
          <w:tcPr>
            <w:tcW w:w="3209" w:type="dxa"/>
            <w:vMerge/>
          </w:tcPr>
          <w:p w14:paraId="4BB74BCC" w14:textId="77777777" w:rsidR="00487CDF" w:rsidRDefault="00487CDF" w:rsidP="008A0ECF"/>
        </w:tc>
        <w:tc>
          <w:tcPr>
            <w:tcW w:w="3210" w:type="dxa"/>
          </w:tcPr>
          <w:p w14:paraId="51E3AD32" w14:textId="224C1C43" w:rsidR="00487CDF" w:rsidRDefault="00EF3FBF" w:rsidP="00EF3FBF">
            <w:pPr>
              <w:jc w:val="center"/>
            </w:pPr>
            <w:r>
              <w:t>MESs receive 1</w:t>
            </w:r>
          </w:p>
        </w:tc>
        <w:tc>
          <w:tcPr>
            <w:tcW w:w="3210" w:type="dxa"/>
          </w:tcPr>
          <w:p w14:paraId="26783A12" w14:textId="141A72CF" w:rsidR="00487CDF" w:rsidRDefault="00A966A2" w:rsidP="004252E6">
            <w:pPr>
              <w:jc w:val="center"/>
            </w:pPr>
            <w:r>
              <w:t>1525 MHz to 1559 MHz</w:t>
            </w:r>
          </w:p>
        </w:tc>
      </w:tr>
      <w:tr w:rsidR="00C84D4B" w14:paraId="63316256" w14:textId="77777777" w:rsidTr="00487CDF">
        <w:tc>
          <w:tcPr>
            <w:tcW w:w="3209" w:type="dxa"/>
            <w:vMerge w:val="restart"/>
          </w:tcPr>
          <w:p w14:paraId="7A67D06D" w14:textId="7A1747DA" w:rsidR="00C84D4B" w:rsidRDefault="00EF3FBF" w:rsidP="00EF3FBF">
            <w:pPr>
              <w:jc w:val="center"/>
            </w:pPr>
            <w:r>
              <w:t>2</w:t>
            </w:r>
          </w:p>
        </w:tc>
        <w:tc>
          <w:tcPr>
            <w:tcW w:w="3210" w:type="dxa"/>
          </w:tcPr>
          <w:p w14:paraId="7BB3E14D" w14:textId="044811DF" w:rsidR="00C84D4B" w:rsidRDefault="00EF3FBF" w:rsidP="00EF3FBF">
            <w:pPr>
              <w:jc w:val="center"/>
            </w:pPr>
            <w:r>
              <w:t>MESs transmit 2</w:t>
            </w:r>
          </w:p>
        </w:tc>
        <w:tc>
          <w:tcPr>
            <w:tcW w:w="3210" w:type="dxa"/>
          </w:tcPr>
          <w:p w14:paraId="3ED742FB" w14:textId="623357E6" w:rsidR="00C84D4B" w:rsidRDefault="00A966A2" w:rsidP="004252E6">
            <w:pPr>
              <w:jc w:val="center"/>
            </w:pPr>
            <w:r>
              <w:t>1668,0</w:t>
            </w:r>
            <w:r w:rsidR="004252E6">
              <w:t xml:space="preserve"> MHz to 1675,0 MHz</w:t>
            </w:r>
          </w:p>
        </w:tc>
      </w:tr>
      <w:tr w:rsidR="00C84D4B" w14:paraId="20C8FA25" w14:textId="77777777" w:rsidTr="00487CDF">
        <w:tc>
          <w:tcPr>
            <w:tcW w:w="3209" w:type="dxa"/>
            <w:vMerge/>
          </w:tcPr>
          <w:p w14:paraId="78965E32" w14:textId="77777777" w:rsidR="00C84D4B" w:rsidRDefault="00C84D4B" w:rsidP="008A0ECF"/>
        </w:tc>
        <w:tc>
          <w:tcPr>
            <w:tcW w:w="3210" w:type="dxa"/>
          </w:tcPr>
          <w:p w14:paraId="3BA8A604" w14:textId="2BDD7EC0" w:rsidR="00C84D4B" w:rsidRDefault="00EF3FBF" w:rsidP="00EF3FBF">
            <w:pPr>
              <w:jc w:val="center"/>
            </w:pPr>
            <w:r>
              <w:t>MESs receive 2</w:t>
            </w:r>
          </w:p>
        </w:tc>
        <w:tc>
          <w:tcPr>
            <w:tcW w:w="3210" w:type="dxa"/>
          </w:tcPr>
          <w:p w14:paraId="4FF5B90D" w14:textId="6F4D1538" w:rsidR="00C84D4B" w:rsidRDefault="004252E6" w:rsidP="004252E6">
            <w:pPr>
              <w:jc w:val="center"/>
            </w:pPr>
            <w:r>
              <w:t>1518,0 MHz to 1525,0 MHz</w:t>
            </w:r>
          </w:p>
        </w:tc>
      </w:tr>
    </w:tbl>
    <w:p w14:paraId="349C23B2" w14:textId="7E1CAD08" w:rsidR="008A0ECF" w:rsidRDefault="008A0ECF" w:rsidP="008A0ECF"/>
    <w:p w14:paraId="28CBBCE9" w14:textId="779E9A89" w:rsidR="00191155" w:rsidRDefault="004252E6" w:rsidP="008A0ECF">
      <w:r>
        <w:t xml:space="preserve">Sub-band 1 being band 255, and sub-band 2 being band 253 for NR and NB-IoT. The bands n251 and n250 are </w:t>
      </w:r>
      <w:r w:rsidR="00191155">
        <w:t>combinations of sub-bands 1 and 2.</w:t>
      </w:r>
    </w:p>
    <w:p w14:paraId="46395473" w14:textId="2AAD6F60" w:rsidR="00191155" w:rsidRPr="00141397" w:rsidRDefault="00191155" w:rsidP="00191155">
      <w:pPr>
        <w:keepNext/>
        <w:rPr>
          <w:b/>
          <w:i/>
        </w:rPr>
      </w:pPr>
      <w:r w:rsidRPr="00141397">
        <w:rPr>
          <w:b/>
          <w:i/>
        </w:rPr>
        <w:t xml:space="preserve">Observation </w:t>
      </w:r>
      <w:r w:rsidRPr="00141397">
        <w:rPr>
          <w:b/>
          <w:i/>
        </w:rPr>
        <w:fldChar w:fldCharType="begin"/>
      </w:r>
      <w:r w:rsidRPr="00141397">
        <w:rPr>
          <w:b/>
          <w:i/>
        </w:rPr>
        <w:instrText xml:space="preserve"> SEQ Observation \* ARABIC </w:instrText>
      </w:r>
      <w:r w:rsidRPr="00141397">
        <w:rPr>
          <w:b/>
          <w:i/>
        </w:rPr>
        <w:fldChar w:fldCharType="separate"/>
      </w:r>
      <w:r w:rsidRPr="00141397">
        <w:rPr>
          <w:b/>
          <w:i/>
        </w:rPr>
        <w:t>1</w:t>
      </w:r>
      <w:r w:rsidRPr="00141397">
        <w:rPr>
          <w:b/>
          <w:i/>
        </w:rPr>
        <w:fldChar w:fldCharType="end"/>
      </w:r>
      <w:r w:rsidRPr="00141397">
        <w:rPr>
          <w:b/>
          <w:i/>
        </w:rPr>
        <w:t>:</w:t>
      </w:r>
      <w:r w:rsidRPr="00141397">
        <w:rPr>
          <w:i/>
        </w:rPr>
        <w:t xml:space="preserve"> </w:t>
      </w:r>
      <w:r>
        <w:rPr>
          <w:b/>
          <w:i/>
        </w:rPr>
        <w:t>ETSI EN 301 681 captures relevant regulatory information for operation in Europe for bands n255/b255, n253/b253, n251 and n250.</w:t>
      </w:r>
    </w:p>
    <w:p w14:paraId="5F6C8F48" w14:textId="09A2017B" w:rsidR="00C87C28" w:rsidRDefault="00C87C28" w:rsidP="008646DB">
      <w:r w:rsidRPr="001C50B6">
        <w:t>ETSI EN 301 681</w:t>
      </w:r>
      <w:r w:rsidR="00280485" w:rsidRPr="001C50B6">
        <w:t xml:space="preserve"> mandates </w:t>
      </w:r>
      <w:r w:rsidR="001C50B6" w:rsidRPr="001C50B6">
        <w:t>in-band and o</w:t>
      </w:r>
      <w:r w:rsidR="001C50B6">
        <w:t>ut-of-band spectrum emissions masks</w:t>
      </w:r>
      <w:r w:rsidR="005311FF">
        <w:t>.</w:t>
      </w:r>
    </w:p>
    <w:p w14:paraId="007D6121" w14:textId="64F6E8B7" w:rsidR="005311FF" w:rsidRDefault="005311FF" w:rsidP="005311FF">
      <w:pPr>
        <w:pStyle w:val="ListParagraph"/>
        <w:numPr>
          <w:ilvl w:val="0"/>
          <w:numId w:val="11"/>
        </w:numPr>
      </w:pPr>
      <w:r>
        <w:t>Table 3 concerns itself with the out-of-band emissions associated with a UE that can transmit only in sub-band 1</w:t>
      </w:r>
    </w:p>
    <w:p w14:paraId="34455400" w14:textId="47B9222A" w:rsidR="005311FF" w:rsidRDefault="005311FF" w:rsidP="005311FF">
      <w:pPr>
        <w:pStyle w:val="ListParagraph"/>
        <w:numPr>
          <w:ilvl w:val="0"/>
          <w:numId w:val="11"/>
        </w:numPr>
      </w:pPr>
      <w:r>
        <w:t>Table 3a concerns itself with the out-of-band emissions associated with a UE that can transmit in both sub-band 1 and sub-band 2</w:t>
      </w:r>
    </w:p>
    <w:p w14:paraId="1BBE2064" w14:textId="09489D4F" w:rsidR="005311FF" w:rsidRDefault="005311FF" w:rsidP="00EF6277">
      <w:pPr>
        <w:pStyle w:val="ListParagraph"/>
        <w:numPr>
          <w:ilvl w:val="0"/>
          <w:numId w:val="11"/>
        </w:numPr>
      </w:pPr>
      <w:r>
        <w:t>Table 4a concerns itself with the in-band emissions associated with a UE that can transmit in any of sub-band 1 or 2</w:t>
      </w:r>
      <w:r w:rsidR="00EF6277">
        <w:t>.</w:t>
      </w:r>
    </w:p>
    <w:p w14:paraId="5B8D0FCB" w14:textId="74FEC3E8" w:rsidR="009E490C" w:rsidRDefault="0001596D" w:rsidP="00EF6277">
      <w:pPr>
        <w:pStyle w:val="ListParagraph"/>
        <w:numPr>
          <w:ilvl w:val="0"/>
          <w:numId w:val="11"/>
        </w:numPr>
      </w:pPr>
      <w:r>
        <w:t>Table 5 concerns itself with the TX-Off emissions, which mandate RA protection</w:t>
      </w:r>
    </w:p>
    <w:p w14:paraId="6F954880" w14:textId="6DE403A4" w:rsidR="008646DB" w:rsidRDefault="008646DB" w:rsidP="008646DB">
      <w:r>
        <w:t>It is worth noting that ETSI certification only applies to whole devices, a module cannot be certified to EN 301 681.</w:t>
      </w:r>
    </w:p>
    <w:p w14:paraId="58377DA3" w14:textId="56B61ADF" w:rsidR="008646DB" w:rsidRDefault="008646DB" w:rsidP="008646DB">
      <w:pPr>
        <w:keepNext/>
        <w:rPr>
          <w:b/>
          <w:i/>
        </w:rPr>
      </w:pPr>
      <w:r w:rsidRPr="00141397">
        <w:rPr>
          <w:b/>
          <w:i/>
        </w:rPr>
        <w:t xml:space="preserve">Observation </w:t>
      </w:r>
      <w:r>
        <w:rPr>
          <w:b/>
          <w:i/>
        </w:rPr>
        <w:t>2</w:t>
      </w:r>
      <w:r w:rsidRPr="00141397">
        <w:rPr>
          <w:b/>
          <w:i/>
        </w:rPr>
        <w:t>:</w:t>
      </w:r>
      <w:r w:rsidRPr="00141397">
        <w:rPr>
          <w:i/>
        </w:rPr>
        <w:t xml:space="preserve"> </w:t>
      </w:r>
      <w:r>
        <w:rPr>
          <w:b/>
          <w:i/>
        </w:rPr>
        <w:t>A module can be ETSI EN 301 681 ‘ready’ but not ETSI EN 301 681 certified. The capturing of the</w:t>
      </w:r>
      <w:r w:rsidR="006C3D59">
        <w:rPr>
          <w:b/>
          <w:i/>
        </w:rPr>
        <w:t xml:space="preserve"> spectrum emissions</w:t>
      </w:r>
      <w:r>
        <w:rPr>
          <w:b/>
          <w:i/>
        </w:rPr>
        <w:t xml:space="preserve"> requirements in the 3GPP specification will serve to provide an indicator of module performance before it is integrated into a device.</w:t>
      </w:r>
    </w:p>
    <w:p w14:paraId="589EBFF7" w14:textId="36DCB69C" w:rsidR="008646DB" w:rsidRDefault="009A2DC0" w:rsidP="008646DB">
      <w:pPr>
        <w:keepNext/>
        <w:rPr>
          <w:bCs/>
          <w:iCs/>
        </w:rPr>
      </w:pPr>
      <w:r>
        <w:rPr>
          <w:bCs/>
          <w:iCs/>
        </w:rPr>
        <w:t>These</w:t>
      </w:r>
      <w:r w:rsidR="006C3D59">
        <w:rPr>
          <w:bCs/>
          <w:iCs/>
        </w:rPr>
        <w:t xml:space="preserve"> spectrum emissions</w:t>
      </w:r>
      <w:r>
        <w:rPr>
          <w:bCs/>
          <w:iCs/>
        </w:rPr>
        <w:t xml:space="preserve"> requirements are radiated requirements, meaning that two methods can be used to provide certification:</w:t>
      </w:r>
    </w:p>
    <w:p w14:paraId="714AB147" w14:textId="3F971BD0" w:rsidR="009A2DC0" w:rsidRDefault="009A2DC0" w:rsidP="009A2DC0">
      <w:pPr>
        <w:pStyle w:val="ListParagraph"/>
        <w:keepNext/>
        <w:numPr>
          <w:ilvl w:val="0"/>
          <w:numId w:val="10"/>
        </w:numPr>
        <w:rPr>
          <w:bCs/>
          <w:iCs/>
        </w:rPr>
      </w:pPr>
      <w:r>
        <w:rPr>
          <w:bCs/>
          <w:iCs/>
        </w:rPr>
        <w:t>The device can be tested by radiated means, with the antenna integrated into the device.</w:t>
      </w:r>
    </w:p>
    <w:p w14:paraId="4784E79D" w14:textId="3A7E65E6" w:rsidR="009A2DC0" w:rsidRDefault="009A2DC0" w:rsidP="009A2DC0">
      <w:pPr>
        <w:pStyle w:val="ListParagraph"/>
        <w:keepNext/>
        <w:numPr>
          <w:ilvl w:val="0"/>
          <w:numId w:val="10"/>
        </w:numPr>
        <w:rPr>
          <w:bCs/>
          <w:iCs/>
        </w:rPr>
      </w:pPr>
      <w:r>
        <w:rPr>
          <w:bCs/>
          <w:iCs/>
        </w:rPr>
        <w:t>The device can be certified at the antenna ports, and the final ‘radiated’ performance can be discerned if the antenna performance is known across the whole frequency range, and can be added to the conducted performance of the device.</w:t>
      </w:r>
    </w:p>
    <w:p w14:paraId="6C151831" w14:textId="000F876A" w:rsidR="009A2DC0" w:rsidRDefault="009A2DC0" w:rsidP="009A2DC0">
      <w:pPr>
        <w:keepNext/>
        <w:rPr>
          <w:b/>
          <w:i/>
        </w:rPr>
      </w:pPr>
      <w:r w:rsidRPr="009A2DC0">
        <w:rPr>
          <w:b/>
          <w:i/>
        </w:rPr>
        <w:t xml:space="preserve">Observation </w:t>
      </w:r>
      <w:r>
        <w:rPr>
          <w:b/>
          <w:i/>
        </w:rPr>
        <w:t>3</w:t>
      </w:r>
      <w:r w:rsidRPr="009A2DC0">
        <w:rPr>
          <w:b/>
          <w:i/>
        </w:rPr>
        <w:t>:</w:t>
      </w:r>
      <w:r w:rsidRPr="009A2DC0">
        <w:rPr>
          <w:i/>
        </w:rPr>
        <w:t xml:space="preserve"> </w:t>
      </w:r>
      <w:r>
        <w:rPr>
          <w:b/>
          <w:i/>
        </w:rPr>
        <w:t>ETSI radiated requirements can be fulfilled at the conducted interface, so long as the antenna response is known across the entire frequency band of interest. The antenna performance can be added to the measured conducted response to infer the spectrum emissions performance of the integrated device.</w:t>
      </w:r>
    </w:p>
    <w:p w14:paraId="08523293" w14:textId="1703AE90" w:rsidR="00AD4DD2" w:rsidRPr="000F613E" w:rsidRDefault="000F613E" w:rsidP="009A2DC0">
      <w:pPr>
        <w:keepNext/>
        <w:rPr>
          <w:bCs/>
          <w:iCs/>
        </w:rPr>
      </w:pPr>
      <w:r>
        <w:rPr>
          <w:bCs/>
          <w:iCs/>
        </w:rPr>
        <w:t xml:space="preserve">The rationale behind capturing the ETSI SEM requirements in the 3GPP specification is to provide a requirement which </w:t>
      </w:r>
      <w:r w:rsidR="008D419F">
        <w:rPr>
          <w:bCs/>
          <w:iCs/>
        </w:rPr>
        <w:t xml:space="preserve">lets module manufacturers understand whether their module is compliant to regulatory </w:t>
      </w:r>
      <w:r w:rsidR="00AD4DD2">
        <w:rPr>
          <w:bCs/>
          <w:iCs/>
        </w:rPr>
        <w:t>requirements before they reach the mass market or get integrated into a device. In order for these devices to operate in Europe, they will have to pass this certification in any case as a whole device</w:t>
      </w:r>
      <w:r w:rsidR="00EF6277">
        <w:rPr>
          <w:bCs/>
          <w:iCs/>
        </w:rPr>
        <w:t xml:space="preserve"> </w:t>
      </w:r>
      <w:r w:rsidR="003A57E0">
        <w:rPr>
          <w:bCs/>
          <w:iCs/>
        </w:rPr>
        <w:t>at a later stage.</w:t>
      </w:r>
    </w:p>
    <w:p w14:paraId="58415629" w14:textId="167A78EE" w:rsidR="00B3186C" w:rsidRDefault="00AD4DD2" w:rsidP="00AD4DD2">
      <w:pPr>
        <w:keepNext/>
        <w:rPr>
          <w:b/>
          <w:i/>
        </w:rPr>
      </w:pPr>
      <w:r w:rsidRPr="009A2DC0">
        <w:rPr>
          <w:b/>
          <w:i/>
        </w:rPr>
        <w:t xml:space="preserve">Observation </w:t>
      </w:r>
      <w:r>
        <w:rPr>
          <w:b/>
          <w:i/>
        </w:rPr>
        <w:t>4</w:t>
      </w:r>
      <w:r w:rsidRPr="009A2DC0">
        <w:rPr>
          <w:b/>
          <w:i/>
        </w:rPr>
        <w:t>:</w:t>
      </w:r>
      <w:r w:rsidRPr="009A2DC0">
        <w:rPr>
          <w:i/>
        </w:rPr>
        <w:t xml:space="preserve"> </w:t>
      </w:r>
      <w:r>
        <w:rPr>
          <w:b/>
          <w:i/>
        </w:rPr>
        <w:t xml:space="preserve">Devices that are to operate in Europe will have to undergo the ETSI certification process anyway </w:t>
      </w:r>
      <w:r w:rsidR="00B3186C">
        <w:rPr>
          <w:b/>
          <w:i/>
        </w:rPr>
        <w:t>when they go to market.</w:t>
      </w:r>
      <w:r w:rsidR="000470B2">
        <w:rPr>
          <w:b/>
          <w:i/>
        </w:rPr>
        <w:t xml:space="preserve"> The addition of these requirements will only provide an indication of whether a module is ‘ETSI ready’</w:t>
      </w:r>
    </w:p>
    <w:p w14:paraId="532BE1C7" w14:textId="6A55DB5C" w:rsidR="004D21D1" w:rsidRDefault="004D21D1" w:rsidP="00AD4DD2">
      <w:pPr>
        <w:keepNext/>
        <w:rPr>
          <w:bCs/>
          <w:iCs/>
        </w:rPr>
      </w:pPr>
      <w:r>
        <w:rPr>
          <w:bCs/>
          <w:iCs/>
        </w:rPr>
        <w:t xml:space="preserve">When a module manufacturer integrates a chipset into a module and performs the conducted testing against the ETSI radiated emissions mask, they will then have an understanding on the margin they have between the spectrum emissions mask and the </w:t>
      </w:r>
      <w:r w:rsidR="003924DA">
        <w:rPr>
          <w:bCs/>
          <w:iCs/>
        </w:rPr>
        <w:t>module’s spectrum emissions response. The module manufacturer could have a declaration in their datasheet or by other means to inform the device integrator of the maximum antenna gain the integrated device can have whilst still being compliant to ETSI</w:t>
      </w:r>
      <w:r w:rsidR="0001596D">
        <w:rPr>
          <w:bCs/>
          <w:iCs/>
        </w:rPr>
        <w:t>, assuming perfect coupling between the module and the antenna</w:t>
      </w:r>
      <w:r w:rsidR="003924DA">
        <w:rPr>
          <w:bCs/>
          <w:iCs/>
        </w:rPr>
        <w:t>.</w:t>
      </w:r>
    </w:p>
    <w:p w14:paraId="7BFBBEAF" w14:textId="3730F53A" w:rsidR="003924DA" w:rsidRDefault="003924DA" w:rsidP="00AD4DD2">
      <w:pPr>
        <w:keepNext/>
        <w:rPr>
          <w:bCs/>
          <w:iCs/>
        </w:rPr>
      </w:pPr>
      <w:r>
        <w:rPr>
          <w:bCs/>
          <w:iCs/>
        </w:rPr>
        <w:t>i.e.</w:t>
      </w:r>
      <w:r w:rsidR="00305075">
        <w:rPr>
          <w:bCs/>
          <w:iCs/>
        </w:rPr>
        <w:t>:</w:t>
      </w:r>
    </w:p>
    <w:p w14:paraId="50EA2EF5" w14:textId="18C2E10E" w:rsidR="007C653D" w:rsidRDefault="003924DA" w:rsidP="00AD4DD2">
      <w:pPr>
        <w:keepNext/>
        <w:rPr>
          <w:bCs/>
          <w:iCs/>
        </w:rPr>
      </w:pPr>
      <m:oMathPara>
        <m:oMath>
          <m:r>
            <w:rPr>
              <w:rFonts w:ascii="Cambria Math" w:hAnsi="Cambria Math"/>
            </w:rPr>
            <m:t xml:space="preserve">Antenna Margin </m:t>
          </m:r>
          <m:d>
            <m:dPr>
              <m:ctrlPr>
                <w:rPr>
                  <w:rFonts w:ascii="Cambria Math" w:hAnsi="Cambria Math"/>
                  <w:bCs/>
                  <w:i/>
                  <w:iCs/>
                </w:rPr>
              </m:ctrlPr>
            </m:dPr>
            <m:e>
              <m:r>
                <w:rPr>
                  <w:rFonts w:ascii="Cambria Math" w:hAnsi="Cambria Math"/>
                </w:rPr>
                <m:t>dB</m:t>
              </m:r>
            </m:e>
          </m:d>
          <m:r>
            <w:rPr>
              <w:rFonts w:ascii="Cambria Math" w:hAnsi="Cambria Math"/>
            </w:rPr>
            <m:t>=</m:t>
          </m:r>
          <m:r>
            <m:rPr>
              <m:sty m:val="p"/>
            </m:rPr>
            <w:rPr>
              <w:rFonts w:ascii="Cambria Math" w:hAnsi="Cambria Math"/>
            </w:rPr>
            <m:t>max⁡</m:t>
          </m:r>
          <m:r>
            <w:rPr>
              <w:rFonts w:ascii="Cambria Math" w:hAnsi="Cambria Math"/>
            </w:rPr>
            <m:t>(ETSI Spectrum Emissions Mask-Conducted Emissions Performance)</m:t>
          </m:r>
        </m:oMath>
      </m:oMathPara>
    </w:p>
    <w:p w14:paraId="4DF45560" w14:textId="706898E1" w:rsidR="003924DA" w:rsidRPr="003924DA" w:rsidRDefault="003924DA" w:rsidP="00AD4DD2">
      <w:pPr>
        <w:keepNext/>
        <w:rPr>
          <w:b/>
          <w:i/>
        </w:rPr>
      </w:pPr>
      <w:r>
        <w:rPr>
          <w:b/>
          <w:i/>
        </w:rPr>
        <w:t>Proposal 1: Module manufacturers should declare an ‘antenna margin’ figure in the datasheet / other means to inform device integrators of the maximum antenna gain permitted to ensure the device is compliant to ETSI when radiated testing is performed</w:t>
      </w:r>
      <w:r w:rsidR="0001596D">
        <w:rPr>
          <w:b/>
          <w:i/>
        </w:rPr>
        <w:t>, permitting testing over a conducted interface for early-stage indicators for certification</w:t>
      </w:r>
      <w:r>
        <w:rPr>
          <w:b/>
          <w:i/>
        </w:rPr>
        <w:t xml:space="preserve">. </w:t>
      </w:r>
    </w:p>
    <w:p w14:paraId="287CC051" w14:textId="40ADC5B0" w:rsidR="003A57E0" w:rsidRDefault="003A57E0" w:rsidP="003A57E0">
      <w:pPr>
        <w:pStyle w:val="Heading2"/>
      </w:pPr>
      <w:r>
        <w:t>Edge of Band Issue</w:t>
      </w:r>
    </w:p>
    <w:p w14:paraId="5A19F672" w14:textId="5AE4192C" w:rsidR="003A57E0" w:rsidRDefault="003A57E0" w:rsidP="003A57E0">
      <w:r>
        <w:t>The out-of-band spectrum emissions mask captured in both Table 3 and Table 3a has a very stringent requirement at the bottom edge of the band, below 1626.5MHz in order to protect adjacent operators.</w:t>
      </w:r>
    </w:p>
    <w:p w14:paraId="26461158" w14:textId="709E3DB2" w:rsidR="003A57E0" w:rsidRDefault="003A57E0" w:rsidP="003A57E0">
      <w:r>
        <w:t xml:space="preserve">Practically this is very difficult to achieve, especially in such small </w:t>
      </w:r>
      <w:r w:rsidR="00A11A57">
        <w:t xml:space="preserve">form factors such as a mobile handset. To deal with this, </w:t>
      </w:r>
      <w:r w:rsidR="00B1351C">
        <w:t xml:space="preserve">operators </w:t>
      </w:r>
      <w:r w:rsidR="0090455A">
        <w:t xml:space="preserve">typically </w:t>
      </w:r>
      <w:r w:rsidR="008649E5">
        <w:t xml:space="preserve">allocate narrowband services with </w:t>
      </w:r>
      <w:r w:rsidR="002A1AE7">
        <w:t xml:space="preserve">better spectrum emissions performance in the channels directly adjacent to the </w:t>
      </w:r>
      <w:r w:rsidR="00921970">
        <w:t>band edge. If a wideband service was placed at this location, the poor spectrum emissions performance would lead to a non-compliance in the spectrum emissions mask.</w:t>
      </w:r>
    </w:p>
    <w:p w14:paraId="1335A94C" w14:textId="5C49C7A9" w:rsidR="009A32A3" w:rsidRDefault="0090455A" w:rsidP="003A57E0">
      <w:r>
        <w:t xml:space="preserve">This is possible in NTN systems also, </w:t>
      </w:r>
      <w:r w:rsidR="009A32A3">
        <w:t>where spectrum can be allocated for NB-IoT single tone (or low order of muti-tone) operation is able to be allocated at the lower band edge, with wideband NR channels being allocated further into the spectrum</w:t>
      </w:r>
      <w:r w:rsidR="008D0967">
        <w:t>, this is implementation based and would serve to protect these adjacent systems.</w:t>
      </w:r>
    </w:p>
    <w:p w14:paraId="443365B3" w14:textId="419A2514" w:rsidR="00CA0566" w:rsidRPr="00CA0566" w:rsidRDefault="00CA0566" w:rsidP="00CA0566">
      <w:pPr>
        <w:keepNext/>
        <w:rPr>
          <w:b/>
          <w:i/>
        </w:rPr>
      </w:pPr>
      <w:r w:rsidRPr="009A2DC0">
        <w:rPr>
          <w:b/>
          <w:i/>
        </w:rPr>
        <w:t xml:space="preserve">Observation </w:t>
      </w:r>
      <w:r w:rsidR="0001596D">
        <w:rPr>
          <w:b/>
          <w:i/>
        </w:rPr>
        <w:t>4</w:t>
      </w:r>
      <w:r w:rsidRPr="009A2DC0">
        <w:rPr>
          <w:b/>
          <w:i/>
        </w:rPr>
        <w:t>:</w:t>
      </w:r>
      <w:r w:rsidRPr="009A2DC0">
        <w:rPr>
          <w:i/>
        </w:rPr>
        <w:t xml:space="preserve"> </w:t>
      </w:r>
      <w:r>
        <w:rPr>
          <w:b/>
          <w:i/>
        </w:rPr>
        <w:t>The OOBE requirement at the bottom edge of the L-band is very stringent, below 1626.5MHz. This is difficult to implement in practice when a channel is placed directly next to the band-edge even for more expensive, large form factor devices. This is practically managed through network resource allocation, placing narrowband services (with good spectrum emissions performance) close to the band edge and putting wideband services (with poor spectrum emissions performance) further into the band. This can be done in NTN systems by allocating single-tone (or low multi tone index) NB-IoT services close to the band edge.</w:t>
      </w:r>
    </w:p>
    <w:p w14:paraId="28865349" w14:textId="77777777" w:rsidR="006D2321" w:rsidRDefault="008D0967" w:rsidP="003A57E0">
      <w:r>
        <w:t>In practice when a device is tested for compliance to ETSI EN 301 681,</w:t>
      </w:r>
      <w:r w:rsidR="006D2321">
        <w:t xml:space="preserve"> the manufacturer can declare a ‘nominated bandwidth’, which is defined as:</w:t>
      </w:r>
    </w:p>
    <w:p w14:paraId="293A04A6" w14:textId="77777777" w:rsidR="006D2321" w:rsidRPr="00507A3F" w:rsidRDefault="008D0967" w:rsidP="006D2321">
      <w:pPr>
        <w:rPr>
          <w:i/>
          <w:iCs/>
        </w:rPr>
      </w:pPr>
      <w:r>
        <w:t xml:space="preserve"> </w:t>
      </w:r>
      <w:r w:rsidR="006D2321" w:rsidRPr="00507A3F">
        <w:rPr>
          <w:b/>
          <w:bCs/>
          <w:i/>
          <w:iCs/>
        </w:rPr>
        <w:t xml:space="preserve">“nominated bandwidth (Bn): </w:t>
      </w:r>
      <w:r w:rsidR="006D2321" w:rsidRPr="00507A3F">
        <w:rPr>
          <w:i/>
          <w:iCs/>
        </w:rPr>
        <w:t>bandwidth of the MES radio frequency transmission that is nominated by the applicant</w:t>
      </w:r>
      <w:r w:rsidR="006D2321">
        <w:rPr>
          <w:i/>
          <w:iCs/>
        </w:rPr>
        <w:t xml:space="preserve"> </w:t>
      </w:r>
      <w:r w:rsidR="006D2321" w:rsidRPr="00507A3F">
        <w:rPr>
          <w:i/>
          <w:iCs/>
        </w:rPr>
        <w:t>and that is wide enough to encompass all spectral elements of the transmission necessary for communication and which</w:t>
      </w:r>
      <w:r w:rsidR="006D2321">
        <w:rPr>
          <w:i/>
          <w:iCs/>
        </w:rPr>
        <w:t xml:space="preserve"> </w:t>
      </w:r>
      <w:r w:rsidR="006D2321" w:rsidRPr="00507A3F">
        <w:rPr>
          <w:i/>
          <w:iCs/>
        </w:rPr>
        <w:t>have a level greater than the specified unwanted emissions limits; also the nominated bandwidth is centred on the</w:t>
      </w:r>
      <w:r w:rsidR="006D2321">
        <w:rPr>
          <w:i/>
          <w:iCs/>
        </w:rPr>
        <w:t xml:space="preserve"> </w:t>
      </w:r>
      <w:r w:rsidR="006D2321" w:rsidRPr="00507A3F">
        <w:rPr>
          <w:i/>
          <w:iCs/>
        </w:rPr>
        <w:t>transmit frequency and does not exceed 180 % of the 3 dB bandwidth of the signal and is within the assigned part of the</w:t>
      </w:r>
      <w:r w:rsidR="006D2321">
        <w:rPr>
          <w:i/>
          <w:iCs/>
        </w:rPr>
        <w:t xml:space="preserve"> </w:t>
      </w:r>
      <w:r w:rsidR="006D2321" w:rsidRPr="00507A3F">
        <w:rPr>
          <w:i/>
          <w:iCs/>
        </w:rPr>
        <w:t>MSS transmit frequency band within which the MES operates</w:t>
      </w:r>
    </w:p>
    <w:p w14:paraId="31D10D7A" w14:textId="77777777" w:rsidR="006D2321" w:rsidRDefault="006D2321" w:rsidP="006D2321">
      <w:pPr>
        <w:rPr>
          <w:i/>
          <w:iCs/>
        </w:rPr>
      </w:pPr>
      <w:r w:rsidRPr="00507A3F">
        <w:rPr>
          <w:i/>
          <w:iCs/>
        </w:rPr>
        <w:t>NOTE: The nominated bandwidth is wide enough to take account of the transmit carrier frequency stability.”</w:t>
      </w:r>
    </w:p>
    <w:p w14:paraId="6FF51603" w14:textId="0015B797" w:rsidR="00CA0566" w:rsidRDefault="00CA0566" w:rsidP="006D2321">
      <w:pPr>
        <w:rPr>
          <w:b/>
          <w:bCs/>
          <w:i/>
          <w:iCs/>
        </w:rPr>
      </w:pPr>
      <w:r>
        <w:rPr>
          <w:b/>
          <w:bCs/>
          <w:i/>
          <w:iCs/>
        </w:rPr>
        <w:t xml:space="preserve">Observation </w:t>
      </w:r>
      <w:r w:rsidR="0001596D">
        <w:rPr>
          <w:b/>
          <w:bCs/>
          <w:i/>
          <w:iCs/>
        </w:rPr>
        <w:t>5</w:t>
      </w:r>
      <w:r>
        <w:rPr>
          <w:b/>
          <w:bCs/>
          <w:i/>
          <w:iCs/>
        </w:rPr>
        <w:t>:</w:t>
      </w:r>
      <w:r w:rsidR="003C3234">
        <w:rPr>
          <w:b/>
          <w:bCs/>
          <w:i/>
          <w:iCs/>
        </w:rPr>
        <w:t xml:space="preserve"> ETSI EN 301 681 declares a ‘nominated bandwidth’ which is declared by the manufacturer to be up to 180% of the 3dB bandwidth of the transmitted signal, the edge of this nominated bandwidth is where the in-band spectrum emissions mask is taken from.</w:t>
      </w:r>
    </w:p>
    <w:p w14:paraId="0E463456" w14:textId="61BF001D" w:rsidR="006B3122" w:rsidRPr="006B3122" w:rsidRDefault="00305075" w:rsidP="006B3122">
      <w:pPr>
        <w:rPr>
          <w:b/>
          <w:bCs/>
          <w:i/>
          <w:iCs/>
        </w:rPr>
      </w:pPr>
      <w:r>
        <w:rPr>
          <w:b/>
          <w:bCs/>
          <w:i/>
          <w:iCs/>
        </w:rPr>
        <w:t xml:space="preserve">Proposal 2: Ensure we define ‘nominated bandwidth’ in the 3GPP specification to align with </w:t>
      </w:r>
      <w:r w:rsidR="00990DB1">
        <w:rPr>
          <w:b/>
          <w:bCs/>
          <w:i/>
          <w:iCs/>
        </w:rPr>
        <w:t>ETSI EN 301 681 as much as possible</w:t>
      </w:r>
      <w:r w:rsidR="0001596D">
        <w:rPr>
          <w:b/>
          <w:bCs/>
          <w:i/>
          <w:iCs/>
        </w:rPr>
        <w:t>, so there are no surprises when regulatory certification is sought</w:t>
      </w:r>
      <w:r w:rsidR="006B3122">
        <w:rPr>
          <w:b/>
          <w:bCs/>
          <w:i/>
          <w:iCs/>
        </w:rPr>
        <w:t xml:space="preserve">: </w:t>
      </w:r>
      <w:r w:rsidR="006B3122" w:rsidRPr="00507A3F">
        <w:rPr>
          <w:b/>
          <w:bCs/>
          <w:i/>
          <w:iCs/>
        </w:rPr>
        <w:t xml:space="preserve">“nominated bandwidth (Bn): </w:t>
      </w:r>
      <w:r w:rsidR="006B3122" w:rsidRPr="006B3122">
        <w:rPr>
          <w:b/>
          <w:bCs/>
          <w:i/>
          <w:iCs/>
        </w:rPr>
        <w:t>bandwidth of the MES radio frequency transmission that is nominated by the applicant and that is wide enough to encompass all spectral elements of the transmission necessary for communication and which have a level greater than the specified unwanted emissions limits; also the nominated bandwidth is centred on the transmit frequency and does not exceed 180 % of the 3 dB bandwidth of the signal and is within the assigned part of the MSS transmit frequency band within which the MES operates</w:t>
      </w:r>
    </w:p>
    <w:p w14:paraId="144C2141" w14:textId="47A46A6B" w:rsidR="006B3122" w:rsidRPr="006B3122" w:rsidRDefault="006B3122" w:rsidP="006B3122">
      <w:pPr>
        <w:rPr>
          <w:b/>
          <w:bCs/>
          <w:i/>
          <w:iCs/>
        </w:rPr>
      </w:pPr>
      <w:r w:rsidRPr="006B3122">
        <w:rPr>
          <w:b/>
          <w:bCs/>
          <w:i/>
          <w:iCs/>
        </w:rPr>
        <w:t>NOTE: The nominated bandwidth is wide enough to take account of the transmit carrier frequency stability.”</w:t>
      </w:r>
    </w:p>
    <w:p w14:paraId="686EAB39" w14:textId="0C94D69C" w:rsidR="00305075" w:rsidRPr="00CA0566" w:rsidRDefault="00305075" w:rsidP="006D2321">
      <w:pPr>
        <w:rPr>
          <w:b/>
          <w:bCs/>
          <w:i/>
          <w:iCs/>
        </w:rPr>
      </w:pPr>
    </w:p>
    <w:p w14:paraId="0901ACE7" w14:textId="3A4A20D0" w:rsidR="008D0967" w:rsidRDefault="006D2321" w:rsidP="003A57E0">
      <w:r>
        <w:t xml:space="preserve">The </w:t>
      </w:r>
      <w:r w:rsidR="00CD0E0A">
        <w:t>in-band spectrum emissions mask</w:t>
      </w:r>
      <w:r w:rsidR="004F7AF6">
        <w:t xml:space="preserve"> (table 4a)</w:t>
      </w:r>
      <w:r w:rsidR="00CD0E0A">
        <w:t xml:space="preserve"> is taken from the edge of the nominated bandwidth, which, as</w:t>
      </w:r>
      <w:r w:rsidR="0024308A">
        <w:t xml:space="preserve"> described</w:t>
      </w:r>
      <w:r w:rsidR="00CD0E0A">
        <w:t xml:space="preserve"> above, can be up to 180% of the 3dB bandwidth of the </w:t>
      </w:r>
      <w:r w:rsidR="0024308A">
        <w:t>transmitted signal.</w:t>
      </w:r>
    </w:p>
    <w:p w14:paraId="58895519" w14:textId="2BAE4DE0" w:rsidR="0024308A" w:rsidRDefault="0024308A" w:rsidP="003A57E0">
      <w:r>
        <w:t xml:space="preserve">This nominated bandwidth comes into effect when testing for the out-of-band emissions mask also, where </w:t>
      </w:r>
      <w:r w:rsidR="00F54F96">
        <w:t>the UE can</w:t>
      </w:r>
      <w:r w:rsidR="004F7AF6">
        <w:t xml:space="preserve"> </w:t>
      </w:r>
      <w:r w:rsidR="00F54F96">
        <w:t xml:space="preserve"> </w:t>
      </w:r>
      <w:r w:rsidR="005E08D9">
        <w:t>show compliance</w:t>
      </w:r>
      <w:r w:rsidR="00F54F96">
        <w:t xml:space="preserve"> to EN 301 681</w:t>
      </w:r>
      <w:r w:rsidR="005E08D9">
        <w:t xml:space="preserve"> even when</w:t>
      </w:r>
      <w:r w:rsidR="00D24B69">
        <w:t xml:space="preserve"> incorporating this </w:t>
      </w:r>
      <w:r w:rsidR="005E08D9">
        <w:t>nominated bandwidth, effectively acting as a guard band between the signal and the band edge.</w:t>
      </w:r>
    </w:p>
    <w:p w14:paraId="0D817272" w14:textId="2B1629A7" w:rsidR="00424DAD" w:rsidRDefault="00424DAD" w:rsidP="00424DAD">
      <w:pPr>
        <w:pStyle w:val="Heading2"/>
      </w:pPr>
      <w:r>
        <w:t>Radioastronomy Requirements</w:t>
      </w:r>
    </w:p>
    <w:p w14:paraId="5C7DB88A" w14:textId="2E3F5733" w:rsidR="00424DAD" w:rsidRDefault="00424DAD" w:rsidP="00424DAD">
      <w:r w:rsidRPr="00424DAD">
        <w:t>ETSI EN 301 681 also specifies Radio</w:t>
      </w:r>
      <w:r>
        <w:t xml:space="preserve">astronomy requirements which are necessary to protect RA stations. </w:t>
      </w:r>
      <w:r w:rsidR="00EF706B">
        <w:t xml:space="preserve">These are underpinned by a defined ‘TX-off’ level, which is to be met when </w:t>
      </w:r>
      <w:r w:rsidR="00927341">
        <w:t>‘in the vicinity of RA stations recorded in the ITU Master International Frequency Register’.</w:t>
      </w:r>
    </w:p>
    <w:p w14:paraId="76CCCD1D" w14:textId="498CEC38" w:rsidR="00927341" w:rsidRDefault="00927341" w:rsidP="00424DAD">
      <w:r>
        <w:t>The TX-off requirements in ETSI, when compared to 3GPP are as follows:</w:t>
      </w:r>
    </w:p>
    <w:p w14:paraId="75961D9E" w14:textId="0164729B" w:rsidR="00927341" w:rsidRDefault="001E2EC9" w:rsidP="001E2EC9">
      <w:pPr>
        <w:jc w:val="center"/>
      </w:pPr>
      <w:r>
        <w:rPr>
          <w:noProof/>
        </w:rPr>
        <w:drawing>
          <wp:inline distT="0" distB="0" distL="0" distR="0" wp14:anchorId="16A6A4E5" wp14:editId="5262FEE6">
            <wp:extent cx="6120765" cy="3790315"/>
            <wp:effectExtent l="0" t="0" r="0" b="635"/>
            <wp:docPr id="1168532186"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32186" name="Picture 1" descr="A screenshot of a graph&#10;&#10;AI-generated content may be incorrect."/>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20765" cy="3790315"/>
                    </a:xfrm>
                    <a:prstGeom prst="rect">
                      <a:avLst/>
                    </a:prstGeom>
                    <a:noFill/>
                    <a:ln>
                      <a:noFill/>
                    </a:ln>
                  </pic:spPr>
                </pic:pic>
              </a:graphicData>
            </a:graphic>
          </wp:inline>
        </w:drawing>
      </w:r>
    </w:p>
    <w:p w14:paraId="485B5F7C" w14:textId="48B912B3" w:rsidR="001E2EC9" w:rsidRDefault="001E2EC9" w:rsidP="001E2EC9">
      <w:r>
        <w:t xml:space="preserve">As can be seen, the NB-IoT limit </w:t>
      </w:r>
      <w:r w:rsidR="00FC0E04">
        <w:t xml:space="preserve">is less stringent than that of the </w:t>
      </w:r>
      <w:r w:rsidR="00384D16">
        <w:t>ETSI requirement, but the NR limit for all CHBW is more stringent than the ETSI requirement. Again, this is a radiated requirement as with the SEM, so the conducted performance would vary with the antenna gain.</w:t>
      </w:r>
    </w:p>
    <w:p w14:paraId="262F088A" w14:textId="24D374B6" w:rsidR="00DD0789" w:rsidRDefault="00DD0789" w:rsidP="001E2EC9">
      <w:r>
        <w:t>The frequencies of interest for RA protection are 1660-</w:t>
      </w:r>
      <w:r w:rsidR="00A829F6">
        <w:t>1660.5MHz and 1668-1670MHz</w:t>
      </w:r>
      <w:r w:rsidR="00115A52">
        <w:t xml:space="preserve">. In the vicinity of an RA station as recorded in the ITU master international frequency register, the UE emissions must not exceed these </w:t>
      </w:r>
      <w:r w:rsidR="00C913F5">
        <w:t>limits.</w:t>
      </w:r>
    </w:p>
    <w:p w14:paraId="7F22EA05" w14:textId="5AD01C73" w:rsidR="00443279" w:rsidRDefault="004D0032" w:rsidP="001E2EC9">
      <w:r>
        <w:t>Typically</w:t>
      </w:r>
      <w:r w:rsidR="00443279">
        <w:t>,</w:t>
      </w:r>
      <w:r>
        <w:t xml:space="preserve"> the efficient</w:t>
      </w:r>
      <w:r w:rsidR="00443279">
        <w:t xml:space="preserve"> protection of RA has been managed by</w:t>
      </w:r>
      <w:r>
        <w:t xml:space="preserve"> careful</w:t>
      </w:r>
      <w:r w:rsidR="00443279">
        <w:t xml:space="preserve"> resource allocation by the operator, which can still be the case, but </w:t>
      </w:r>
      <w:r w:rsidR="003A7699">
        <w:t>the standard should reflect an element of protection also.</w:t>
      </w:r>
    </w:p>
    <w:p w14:paraId="655FDDC0" w14:textId="6C7C1D8F" w:rsidR="00CE1E19" w:rsidRDefault="003A7699" w:rsidP="001E2EC9">
      <w:pPr>
        <w:rPr>
          <w:b/>
          <w:bCs/>
          <w:i/>
          <w:iCs/>
        </w:rPr>
      </w:pPr>
      <w:r>
        <w:rPr>
          <w:b/>
          <w:bCs/>
          <w:i/>
          <w:iCs/>
        </w:rPr>
        <w:t>Observation 6: ETSI EN 301 681 defines a TX-off limit, which must be met in the 1660-1660.5MHz band and the 1668-1670MHz band in order to protect radioastronomy stations, which are re</w:t>
      </w:r>
      <w:r w:rsidR="00CE1E19">
        <w:rPr>
          <w:b/>
          <w:bCs/>
          <w:i/>
          <w:iCs/>
        </w:rPr>
        <w:t>corded in the ITU Master International Frequency Register.</w:t>
      </w:r>
    </w:p>
    <w:p w14:paraId="1504E11F" w14:textId="1D0AC4FA" w:rsidR="002C6BA9" w:rsidRDefault="002C6BA9" w:rsidP="001E2EC9">
      <w:r>
        <w:t xml:space="preserve">This </w:t>
      </w:r>
      <w:r w:rsidR="002514C1">
        <w:t>TX-Off requirement is defined as follows:</w:t>
      </w:r>
    </w:p>
    <w:p w14:paraId="6D0580A3" w14:textId="1495F603" w:rsidR="002514C1" w:rsidRDefault="002514C1" w:rsidP="0079547C">
      <w:r w:rsidRPr="0079547C">
        <w:rPr>
          <w:i/>
          <w:iCs/>
        </w:rPr>
        <w:t>‘</w:t>
      </w:r>
      <w:r w:rsidR="0079547C" w:rsidRPr="0079547C">
        <w:rPr>
          <w:i/>
          <w:iCs/>
        </w:rPr>
        <w:t>An MES which is in the carrier-on state shall not continue transmissions for a period of time longer than 1 s after</w:t>
      </w:r>
      <w:r w:rsidR="0079547C">
        <w:rPr>
          <w:i/>
          <w:iCs/>
        </w:rPr>
        <w:t xml:space="preserve"> </w:t>
      </w:r>
      <w:r w:rsidR="0079547C" w:rsidRPr="0079547C">
        <w:rPr>
          <w:i/>
          <w:iCs/>
        </w:rPr>
        <w:t>receipt of a transmission disable command. After ceasing transmissions the MES shall enter the carrier-off state until it</w:t>
      </w:r>
      <w:r w:rsidR="0079547C">
        <w:rPr>
          <w:i/>
          <w:iCs/>
        </w:rPr>
        <w:t xml:space="preserve"> </w:t>
      </w:r>
      <w:r w:rsidR="0079547C" w:rsidRPr="0079547C">
        <w:rPr>
          <w:i/>
          <w:iCs/>
        </w:rPr>
        <w:t>receives a transmission enable command. For systems where no transmission enable command is expected after receipt</w:t>
      </w:r>
      <w:r w:rsidR="0079547C">
        <w:rPr>
          <w:i/>
          <w:iCs/>
        </w:rPr>
        <w:t xml:space="preserve"> </w:t>
      </w:r>
      <w:r w:rsidR="0079547C" w:rsidRPr="0079547C">
        <w:rPr>
          <w:i/>
          <w:iCs/>
        </w:rPr>
        <w:t>of a transmission disable command the MES may only transmit initial bursts.</w:t>
      </w:r>
      <w:r w:rsidR="0079547C">
        <w:rPr>
          <w:i/>
          <w:iCs/>
        </w:rPr>
        <w:t>’</w:t>
      </w:r>
    </w:p>
    <w:p w14:paraId="4E08F36A" w14:textId="517F405F" w:rsidR="0079547C" w:rsidRDefault="0079547C" w:rsidP="0079547C">
      <w:r>
        <w:t>Meaning that the UE is able to RACH within this spectrum without violating the standard.</w:t>
      </w:r>
    </w:p>
    <w:p w14:paraId="2A5ECD76" w14:textId="7AAAE0FB" w:rsidR="0001596D" w:rsidRPr="0001596D" w:rsidRDefault="0001596D" w:rsidP="0079547C">
      <w:pPr>
        <w:rPr>
          <w:b/>
          <w:bCs/>
          <w:i/>
          <w:iCs/>
        </w:rPr>
      </w:pPr>
      <w:r w:rsidRPr="0001596D">
        <w:rPr>
          <w:b/>
          <w:bCs/>
          <w:i/>
          <w:iCs/>
        </w:rPr>
        <w:t xml:space="preserve">Observation </w:t>
      </w:r>
      <w:r>
        <w:rPr>
          <w:b/>
          <w:bCs/>
          <w:i/>
          <w:iCs/>
        </w:rPr>
        <w:t>7</w:t>
      </w:r>
      <w:r w:rsidRPr="0001596D">
        <w:rPr>
          <w:b/>
          <w:bCs/>
          <w:i/>
          <w:iCs/>
        </w:rPr>
        <w:t xml:space="preserve">: ETSI EN 301 681 permits </w:t>
      </w:r>
      <w:r>
        <w:rPr>
          <w:b/>
          <w:bCs/>
          <w:i/>
          <w:iCs/>
        </w:rPr>
        <w:t xml:space="preserve">the UE to </w:t>
      </w:r>
      <w:r w:rsidRPr="0001596D">
        <w:rPr>
          <w:b/>
          <w:bCs/>
          <w:i/>
          <w:iCs/>
        </w:rPr>
        <w:t>RACH even</w:t>
      </w:r>
      <w:r>
        <w:rPr>
          <w:b/>
          <w:bCs/>
          <w:i/>
          <w:iCs/>
        </w:rPr>
        <w:t xml:space="preserve"> when the UE is instructed to be in a TX-Off state.</w:t>
      </w:r>
    </w:p>
    <w:p w14:paraId="7A48A2FB" w14:textId="3A0856A8" w:rsidR="0088016D" w:rsidRDefault="0088016D" w:rsidP="00B52D9B">
      <w:pPr>
        <w:pStyle w:val="Heading2"/>
        <w:ind w:left="576" w:hanging="576"/>
      </w:pPr>
      <w:r>
        <w:t xml:space="preserve">Proposed </w:t>
      </w:r>
      <w:r w:rsidR="004D0032">
        <w:t xml:space="preserve">NS Flag </w:t>
      </w:r>
      <w:r>
        <w:t>Methodology</w:t>
      </w:r>
    </w:p>
    <w:p w14:paraId="01AB089D" w14:textId="7CF98904" w:rsidR="00D1270B" w:rsidRDefault="00D1270B" w:rsidP="00D1270B">
      <w:r>
        <w:t xml:space="preserve">The standard should introduce region-specific NS values which impose spectrum emissions requirements on the UE. In this case the UE has an awareness of its </w:t>
      </w:r>
      <w:r w:rsidR="00B41501">
        <w:t xml:space="preserve">own </w:t>
      </w:r>
      <w:r>
        <w:t xml:space="preserve">spectrum emissions, so can perform UE-specific fine tuning in order to meet the regulatory requirements </w:t>
      </w:r>
      <w:r w:rsidR="00B41501">
        <w:t>depending on the following:</w:t>
      </w:r>
    </w:p>
    <w:p w14:paraId="43376F3E" w14:textId="1EBF1F67" w:rsidR="00B41501" w:rsidRDefault="00B41501" w:rsidP="00B41501">
      <w:pPr>
        <w:pStyle w:val="ListParagraph"/>
        <w:numPr>
          <w:ilvl w:val="0"/>
          <w:numId w:val="10"/>
        </w:numPr>
      </w:pPr>
      <w:r>
        <w:t>Number of tones or RBs allocated to the UE</w:t>
      </w:r>
    </w:p>
    <w:p w14:paraId="7FD8FA32" w14:textId="6874E0F8" w:rsidR="00B41501" w:rsidRDefault="00B41501" w:rsidP="00B41501">
      <w:pPr>
        <w:pStyle w:val="ListParagraph"/>
        <w:numPr>
          <w:ilvl w:val="0"/>
          <w:numId w:val="10"/>
        </w:numPr>
      </w:pPr>
      <w:r>
        <w:t>Where the transmission is placed with respect to the band edge</w:t>
      </w:r>
    </w:p>
    <w:p w14:paraId="59025630" w14:textId="58416652" w:rsidR="00B41501" w:rsidRDefault="00411462" w:rsidP="00B41501">
      <w:pPr>
        <w:pStyle w:val="ListParagraph"/>
        <w:numPr>
          <w:ilvl w:val="0"/>
          <w:numId w:val="10"/>
        </w:numPr>
      </w:pPr>
      <w:r>
        <w:t>Whether the UE is in a cell that is ‘in the vicinity of RA stations’</w:t>
      </w:r>
    </w:p>
    <w:p w14:paraId="78178309" w14:textId="377BCEBA" w:rsidR="00F11D88" w:rsidRDefault="00F11D88" w:rsidP="00B41501">
      <w:pPr>
        <w:pStyle w:val="ListParagraph"/>
        <w:numPr>
          <w:ilvl w:val="0"/>
          <w:numId w:val="10"/>
        </w:numPr>
      </w:pPr>
      <w:r>
        <w:t>The EIRP of the UE</w:t>
      </w:r>
    </w:p>
    <w:p w14:paraId="5E72C463" w14:textId="5464EAED" w:rsidR="00411462" w:rsidRDefault="00411462" w:rsidP="00411462">
      <w:r>
        <w:t>This removes the need for a stringent spectrum emissions requirement to be imposed upon the UE, and provides power back-off only when absolutely necessary based on the above parameters on a UE-to-UE basis.</w:t>
      </w:r>
    </w:p>
    <w:p w14:paraId="46F38F5A" w14:textId="11707CC3" w:rsidR="00DC30C2" w:rsidRPr="00DC30C2" w:rsidRDefault="00DC30C2" w:rsidP="00411462">
      <w:pPr>
        <w:rPr>
          <w:b/>
          <w:bCs/>
          <w:i/>
          <w:iCs/>
        </w:rPr>
      </w:pPr>
      <w:r>
        <w:rPr>
          <w:b/>
          <w:bCs/>
          <w:i/>
          <w:iCs/>
        </w:rPr>
        <w:t xml:space="preserve">Observation </w:t>
      </w:r>
      <w:r w:rsidR="0001596D">
        <w:rPr>
          <w:b/>
          <w:bCs/>
          <w:i/>
          <w:iCs/>
        </w:rPr>
        <w:t>8</w:t>
      </w:r>
      <w:r>
        <w:rPr>
          <w:b/>
          <w:bCs/>
          <w:i/>
          <w:iCs/>
        </w:rPr>
        <w:t xml:space="preserve">: </w:t>
      </w:r>
      <w:r w:rsidR="00EC4C43">
        <w:rPr>
          <w:b/>
          <w:bCs/>
          <w:i/>
          <w:iCs/>
        </w:rPr>
        <w:t xml:space="preserve">Mandating NS flags for UEs to abide to ETSI EN 301 681 SEMs and RA protection Tx-Off levels allows each UE to fine tune its output power to meet these regulatory requirements, and prevents an overarching SEM in the specification which could be far too stringent for every UE to meet. </w:t>
      </w:r>
    </w:p>
    <w:p w14:paraId="23D5FF95" w14:textId="1C8B3B29" w:rsidR="00EC4C43" w:rsidRDefault="002C6BA9" w:rsidP="00411462">
      <w:r>
        <w:t>Consider the following</w:t>
      </w:r>
      <w:r w:rsidR="0054294F">
        <w:t xml:space="preserve"> worst case</w:t>
      </w:r>
      <w:r>
        <w:t xml:space="preserve"> RA protection example, the UE is ‘in the vicinity of an RA station’. The NS flag is seen by the UE on attach.</w:t>
      </w:r>
      <w:r w:rsidR="0079547C">
        <w:t xml:space="preserve"> Once attached (assuming the RAN does not allocate resources to avoid the RA spectrum) the UE is allocated frequency resources near to the RA spectrum. The UE has to back-off its power to avoid violating the NS-flag for RA protection</w:t>
      </w:r>
      <w:r w:rsidR="00DC30C2">
        <w:t>, this kills the link budget and worst case scenario RLF occurs. The UE may then be allocated different frequency resources, and successfully attaches in a frequency location where the RA protection requirement is much less stringent e.g. the low end of band 255.</w:t>
      </w:r>
    </w:p>
    <w:p w14:paraId="1EC08189" w14:textId="58D4CF79" w:rsidR="00EC4C43" w:rsidRDefault="00EC4C43" w:rsidP="00411462">
      <w:pPr>
        <w:rPr>
          <w:b/>
          <w:bCs/>
          <w:i/>
          <w:iCs/>
        </w:rPr>
      </w:pPr>
      <w:r w:rsidRPr="0092169C">
        <w:rPr>
          <w:b/>
          <w:bCs/>
          <w:i/>
          <w:iCs/>
        </w:rPr>
        <w:t xml:space="preserve">Proposal X: </w:t>
      </w:r>
      <w:r w:rsidR="00A85F5B" w:rsidRPr="0092169C">
        <w:rPr>
          <w:b/>
          <w:bCs/>
          <w:i/>
          <w:iCs/>
        </w:rPr>
        <w:t xml:space="preserve">Define </w:t>
      </w:r>
      <w:r w:rsidR="0092169C" w:rsidRPr="0092169C">
        <w:rPr>
          <w:b/>
          <w:bCs/>
          <w:i/>
          <w:iCs/>
        </w:rPr>
        <w:t>a region-spe</w:t>
      </w:r>
      <w:r w:rsidR="0092169C">
        <w:rPr>
          <w:b/>
          <w:bCs/>
          <w:i/>
          <w:iCs/>
        </w:rPr>
        <w:t>cific NS flag mandating EN 301 681 in-band emissions profiles. The device implementer can take this from the edge of the declared nominated bandwidth of the UE transmission. Th</w:t>
      </w:r>
      <w:r w:rsidR="00F11D88">
        <w:rPr>
          <w:b/>
          <w:bCs/>
          <w:i/>
          <w:iCs/>
        </w:rPr>
        <w:t>e back-off will be dependent on the number of tones or RBs allocated to the UE and the EIRP of the UE</w:t>
      </w:r>
    </w:p>
    <w:p w14:paraId="4CBA964A" w14:textId="6F39B89C" w:rsidR="00DC30C2" w:rsidRDefault="00F11D88" w:rsidP="00411462">
      <w:pPr>
        <w:rPr>
          <w:b/>
          <w:bCs/>
          <w:i/>
          <w:iCs/>
        </w:rPr>
      </w:pPr>
      <w:r w:rsidRPr="00F11D88">
        <w:rPr>
          <w:b/>
          <w:bCs/>
          <w:i/>
          <w:iCs/>
        </w:rPr>
        <w:t>Proposal X: Define a region-spe</w:t>
      </w:r>
      <w:r>
        <w:rPr>
          <w:b/>
          <w:bCs/>
          <w:i/>
          <w:iCs/>
        </w:rPr>
        <w:t>cific NS flag mandating EN 301 681 out-of-band emissions profiles. The device implement</w:t>
      </w:r>
      <w:r w:rsidR="009476C8">
        <w:rPr>
          <w:b/>
          <w:bCs/>
          <w:i/>
          <w:iCs/>
        </w:rPr>
        <w:t xml:space="preserve">er will have to calibrate the UE to understand its EIRP spectrum emissions performance for different tone or RB configurations, and how much to back-off based on the </w:t>
      </w:r>
      <w:r w:rsidR="00981F3C">
        <w:rPr>
          <w:b/>
          <w:bCs/>
          <w:i/>
          <w:iCs/>
        </w:rPr>
        <w:t xml:space="preserve">transmission’s </w:t>
      </w:r>
      <w:r w:rsidR="009476C8">
        <w:rPr>
          <w:b/>
          <w:bCs/>
          <w:i/>
          <w:iCs/>
        </w:rPr>
        <w:t>position in the frequency domain.</w:t>
      </w:r>
    </w:p>
    <w:p w14:paraId="1B0B9DDA" w14:textId="5F637154" w:rsidR="009476C8" w:rsidRPr="00F11D88" w:rsidRDefault="009476C8" w:rsidP="00411462">
      <w:r>
        <w:rPr>
          <w:b/>
          <w:bCs/>
          <w:i/>
          <w:iCs/>
        </w:rPr>
        <w:t>Proposal X: Define a cell-specific NS flag mandating EN 301 681 protection of RA stations (i.e.</w:t>
      </w:r>
      <w:r w:rsidR="00980637">
        <w:rPr>
          <w:b/>
          <w:bCs/>
          <w:i/>
          <w:iCs/>
        </w:rPr>
        <w:t xml:space="preserve"> Tx-off level) to cover the bands from 1660-1660.5MHz and 1668-1670MHz.</w:t>
      </w:r>
      <w:r w:rsidR="00981F3C">
        <w:rPr>
          <w:b/>
          <w:bCs/>
          <w:i/>
          <w:iCs/>
        </w:rPr>
        <w:t xml:space="preserve"> The device implemented will have to calibrate the UE to understand its EIRP spectrum emissions performance for different tone or RB configurations, and how much to back-off based on the transmission’s position in the frequency domain.</w:t>
      </w:r>
    </w:p>
    <w:p w14:paraId="69A27753" w14:textId="637E71ED" w:rsidR="00FB5B05" w:rsidRDefault="00FB5B05" w:rsidP="00743F2F">
      <w:pPr>
        <w:pStyle w:val="Heading1"/>
        <w:ind w:left="0" w:firstLine="0"/>
      </w:pPr>
      <w:r>
        <w:t>Conclusions</w:t>
      </w:r>
    </w:p>
    <w:p w14:paraId="4F59B371" w14:textId="5D494015" w:rsidR="003A3C26" w:rsidRDefault="003A3C26" w:rsidP="003A3C26">
      <w:r>
        <w:t>The following observations and proposals are summarized as follows:</w:t>
      </w:r>
    </w:p>
    <w:p w14:paraId="406AB4DC" w14:textId="38775A79" w:rsidR="0001596D" w:rsidRPr="00141397" w:rsidRDefault="0001596D" w:rsidP="0001596D">
      <w:pPr>
        <w:keepNext/>
        <w:rPr>
          <w:b/>
          <w:i/>
        </w:rPr>
      </w:pPr>
      <w:r w:rsidRPr="00141397">
        <w:rPr>
          <w:b/>
          <w:i/>
        </w:rPr>
        <w:t xml:space="preserve">Observation </w:t>
      </w:r>
      <w:r w:rsidRPr="00141397">
        <w:rPr>
          <w:b/>
          <w:i/>
        </w:rPr>
        <w:fldChar w:fldCharType="begin"/>
      </w:r>
      <w:r w:rsidRPr="00141397">
        <w:rPr>
          <w:b/>
          <w:i/>
        </w:rPr>
        <w:instrText xml:space="preserve"> SEQ Observation \* ARABIC </w:instrText>
      </w:r>
      <w:r w:rsidRPr="00141397">
        <w:rPr>
          <w:b/>
          <w:i/>
        </w:rPr>
        <w:fldChar w:fldCharType="separate"/>
      </w:r>
      <w:r w:rsidRPr="00141397">
        <w:rPr>
          <w:b/>
          <w:i/>
        </w:rPr>
        <w:t>1</w:t>
      </w:r>
      <w:r w:rsidRPr="00141397">
        <w:rPr>
          <w:b/>
          <w:i/>
        </w:rPr>
        <w:fldChar w:fldCharType="end"/>
      </w:r>
      <w:r w:rsidRPr="00141397">
        <w:rPr>
          <w:b/>
          <w:i/>
        </w:rPr>
        <w:t>:</w:t>
      </w:r>
      <w:r w:rsidRPr="00141397">
        <w:rPr>
          <w:i/>
        </w:rPr>
        <w:t xml:space="preserve"> </w:t>
      </w:r>
      <w:r>
        <w:rPr>
          <w:b/>
          <w:i/>
        </w:rPr>
        <w:t>ETSI EN 301 681 captures relevant regulatory information for operation in Europe</w:t>
      </w:r>
      <w:r w:rsidR="00014A12">
        <w:rPr>
          <w:b/>
          <w:i/>
        </w:rPr>
        <w:t xml:space="preserve"> and others</w:t>
      </w:r>
      <w:r>
        <w:rPr>
          <w:b/>
          <w:i/>
        </w:rPr>
        <w:t xml:space="preserve"> for bands n255/b255, n253/b253, n251 and n250.</w:t>
      </w:r>
    </w:p>
    <w:p w14:paraId="6F74A084" w14:textId="77777777" w:rsidR="0001596D" w:rsidRDefault="0001596D" w:rsidP="0001596D">
      <w:pPr>
        <w:keepNext/>
        <w:rPr>
          <w:b/>
          <w:i/>
        </w:rPr>
      </w:pPr>
      <w:r w:rsidRPr="00141397">
        <w:rPr>
          <w:b/>
          <w:i/>
        </w:rPr>
        <w:t xml:space="preserve">Observation </w:t>
      </w:r>
      <w:r>
        <w:rPr>
          <w:b/>
          <w:i/>
        </w:rPr>
        <w:t>2</w:t>
      </w:r>
      <w:r w:rsidRPr="00141397">
        <w:rPr>
          <w:b/>
          <w:i/>
        </w:rPr>
        <w:t>:</w:t>
      </w:r>
      <w:r w:rsidRPr="00141397">
        <w:rPr>
          <w:i/>
        </w:rPr>
        <w:t xml:space="preserve"> </w:t>
      </w:r>
      <w:r>
        <w:rPr>
          <w:b/>
          <w:i/>
        </w:rPr>
        <w:t>A module can be ETSI EN 301 681 ‘ready’ but not ETSI EN 301 681 certified. The capturing of the spectrum emissions requirements in the 3GPP specification will serve to provide an indicator of module performance before it is integrated into a device.</w:t>
      </w:r>
    </w:p>
    <w:p w14:paraId="4F8B41CB" w14:textId="77777777" w:rsidR="0001596D" w:rsidRDefault="0001596D" w:rsidP="0001596D">
      <w:pPr>
        <w:keepNext/>
        <w:rPr>
          <w:b/>
          <w:i/>
        </w:rPr>
      </w:pPr>
      <w:r w:rsidRPr="009A2DC0">
        <w:rPr>
          <w:b/>
          <w:i/>
        </w:rPr>
        <w:t xml:space="preserve">Observation </w:t>
      </w:r>
      <w:r>
        <w:rPr>
          <w:b/>
          <w:i/>
        </w:rPr>
        <w:t>3</w:t>
      </w:r>
      <w:r w:rsidRPr="009A2DC0">
        <w:rPr>
          <w:b/>
          <w:i/>
        </w:rPr>
        <w:t>:</w:t>
      </w:r>
      <w:r w:rsidRPr="009A2DC0">
        <w:rPr>
          <w:i/>
        </w:rPr>
        <w:t xml:space="preserve"> </w:t>
      </w:r>
      <w:r>
        <w:rPr>
          <w:b/>
          <w:i/>
        </w:rPr>
        <w:t>ETSI radiated requirements can be fulfilled at the conducted interface, so long as the antenna response is known across the entire frequency band of interest. The antenna performance can be added to the measured conducted response to infer the spectrum emissions performance of the integrated device.</w:t>
      </w:r>
    </w:p>
    <w:p w14:paraId="11139643" w14:textId="77777777" w:rsidR="0001596D" w:rsidRDefault="0001596D" w:rsidP="0001596D">
      <w:pPr>
        <w:keepNext/>
        <w:rPr>
          <w:b/>
          <w:i/>
        </w:rPr>
      </w:pPr>
      <w:r w:rsidRPr="009A2DC0">
        <w:rPr>
          <w:b/>
          <w:i/>
        </w:rPr>
        <w:t xml:space="preserve">Observation </w:t>
      </w:r>
      <w:r>
        <w:rPr>
          <w:b/>
          <w:i/>
        </w:rPr>
        <w:t>4</w:t>
      </w:r>
      <w:r w:rsidRPr="009A2DC0">
        <w:rPr>
          <w:b/>
          <w:i/>
        </w:rPr>
        <w:t>:</w:t>
      </w:r>
      <w:r w:rsidRPr="009A2DC0">
        <w:rPr>
          <w:i/>
        </w:rPr>
        <w:t xml:space="preserve"> </w:t>
      </w:r>
      <w:r>
        <w:rPr>
          <w:b/>
          <w:i/>
        </w:rPr>
        <w:t>Devices that are to operate in Europe will have to undergo the ETSI certification process anyway when they go to market. The addition of these requirements will only provide an indication of whether a module is ‘ETSI ready’</w:t>
      </w:r>
    </w:p>
    <w:p w14:paraId="1A36F720" w14:textId="77777777" w:rsidR="0001596D" w:rsidRPr="00CA0566" w:rsidRDefault="0001596D" w:rsidP="0001596D">
      <w:pPr>
        <w:keepNext/>
        <w:rPr>
          <w:b/>
          <w:i/>
        </w:rPr>
      </w:pPr>
      <w:r w:rsidRPr="009A2DC0">
        <w:rPr>
          <w:b/>
          <w:i/>
        </w:rPr>
        <w:t xml:space="preserve">Observation </w:t>
      </w:r>
      <w:r>
        <w:rPr>
          <w:b/>
          <w:i/>
        </w:rPr>
        <w:t>4</w:t>
      </w:r>
      <w:r w:rsidRPr="009A2DC0">
        <w:rPr>
          <w:b/>
          <w:i/>
        </w:rPr>
        <w:t>:</w:t>
      </w:r>
      <w:r w:rsidRPr="009A2DC0">
        <w:rPr>
          <w:i/>
        </w:rPr>
        <w:t xml:space="preserve"> </w:t>
      </w:r>
      <w:r>
        <w:rPr>
          <w:b/>
          <w:i/>
        </w:rPr>
        <w:t>The OOBE requirement at the bottom edge of the L-band is very stringent, below 1626.5MHz. This is difficult to implement in practice when a channel is placed directly next to the band-edge even for more expensive, large form factor devices. This is practically managed through network resource allocation, placing narrowband services (with good spectrum emissions performance) close to the band edge and putting wideband services (with poor spectrum emissions performance) further into the band. This can be done in NTN systems by allocating single-tone (or low multi tone index) NB-IoT services close to the band edge.</w:t>
      </w:r>
    </w:p>
    <w:p w14:paraId="104C7E4D" w14:textId="77777777" w:rsidR="0001596D" w:rsidRDefault="0001596D" w:rsidP="0001596D">
      <w:pPr>
        <w:rPr>
          <w:b/>
          <w:bCs/>
          <w:i/>
          <w:iCs/>
        </w:rPr>
      </w:pPr>
      <w:r>
        <w:rPr>
          <w:b/>
          <w:bCs/>
          <w:i/>
          <w:iCs/>
        </w:rPr>
        <w:t>Observation 5: ETSI EN 301 681 declares a ‘nominated bandwidth’ which is declared by the manufacturer to be up to 180% of the 3dB bandwidth of the transmitted signal, the edge of this nominated bandwidth is where the in-band spectrum emissions mask is taken from.</w:t>
      </w:r>
    </w:p>
    <w:p w14:paraId="48CB8F70" w14:textId="77777777" w:rsidR="0001596D" w:rsidRDefault="0001596D" w:rsidP="0001596D">
      <w:pPr>
        <w:rPr>
          <w:b/>
          <w:bCs/>
          <w:i/>
          <w:iCs/>
        </w:rPr>
      </w:pPr>
      <w:r>
        <w:rPr>
          <w:b/>
          <w:bCs/>
          <w:i/>
          <w:iCs/>
        </w:rPr>
        <w:t>Observation 6: ETSI EN 301 681 defines a TX-off limit, which must be met in the 1660-1660.5MHz band and the 1668-1670MHz band in order to protect radioastronomy stations, which are recorded in the ITU Master International Frequency Register.</w:t>
      </w:r>
    </w:p>
    <w:p w14:paraId="174DF107" w14:textId="77777777" w:rsidR="0001596D" w:rsidRPr="0001596D" w:rsidRDefault="0001596D" w:rsidP="0001596D">
      <w:pPr>
        <w:rPr>
          <w:b/>
          <w:bCs/>
          <w:i/>
          <w:iCs/>
        </w:rPr>
      </w:pPr>
      <w:r w:rsidRPr="0001596D">
        <w:rPr>
          <w:b/>
          <w:bCs/>
          <w:i/>
          <w:iCs/>
        </w:rPr>
        <w:t xml:space="preserve">Observation </w:t>
      </w:r>
      <w:r>
        <w:rPr>
          <w:b/>
          <w:bCs/>
          <w:i/>
          <w:iCs/>
        </w:rPr>
        <w:t>7</w:t>
      </w:r>
      <w:r w:rsidRPr="0001596D">
        <w:rPr>
          <w:b/>
          <w:bCs/>
          <w:i/>
          <w:iCs/>
        </w:rPr>
        <w:t xml:space="preserve">: ETSI EN 301 681 permits </w:t>
      </w:r>
      <w:r>
        <w:rPr>
          <w:b/>
          <w:bCs/>
          <w:i/>
          <w:iCs/>
        </w:rPr>
        <w:t xml:space="preserve">the UE to </w:t>
      </w:r>
      <w:r w:rsidRPr="0001596D">
        <w:rPr>
          <w:b/>
          <w:bCs/>
          <w:i/>
          <w:iCs/>
        </w:rPr>
        <w:t>RACH even</w:t>
      </w:r>
      <w:r>
        <w:rPr>
          <w:b/>
          <w:bCs/>
          <w:i/>
          <w:iCs/>
        </w:rPr>
        <w:t xml:space="preserve"> when the UE is instructed to be in a TX-Off state.</w:t>
      </w:r>
    </w:p>
    <w:p w14:paraId="217495ED" w14:textId="2A9374F0" w:rsidR="0001596D" w:rsidRPr="00DC30C2" w:rsidRDefault="0001596D" w:rsidP="0001596D">
      <w:pPr>
        <w:rPr>
          <w:b/>
          <w:bCs/>
          <w:i/>
          <w:iCs/>
        </w:rPr>
      </w:pPr>
      <w:r>
        <w:rPr>
          <w:b/>
          <w:bCs/>
          <w:i/>
          <w:iCs/>
        </w:rPr>
        <w:t xml:space="preserve">Observation 8: Mandating NS flags for UEs to abide to ETSI EN 301 681 SEMs and RA protection Tx-Off levels allows each UE to fine tune its output power to meet these regulatory requirements, and prevents an overarching SEM in the specification which could be far too stringent for every UE to meet. </w:t>
      </w:r>
    </w:p>
    <w:p w14:paraId="0D1381E4" w14:textId="77777777" w:rsidR="0001596D" w:rsidRDefault="0001596D" w:rsidP="003A3C26"/>
    <w:p w14:paraId="228C9EBB" w14:textId="77777777" w:rsidR="0001596D" w:rsidRPr="003A3C26" w:rsidRDefault="0001596D" w:rsidP="003A3C26"/>
    <w:p w14:paraId="6265C097" w14:textId="77777777" w:rsidR="0001596D" w:rsidRPr="003924DA" w:rsidRDefault="007B75BA" w:rsidP="0001596D">
      <w:pPr>
        <w:keepNext/>
        <w:rPr>
          <w:b/>
          <w:i/>
        </w:rPr>
      </w:pPr>
      <w:r>
        <w:t xml:space="preserve"> </w:t>
      </w:r>
      <w:r w:rsidR="0001596D">
        <w:rPr>
          <w:b/>
          <w:i/>
        </w:rPr>
        <w:t xml:space="preserve">Proposal 1: Module manufacturers should declare an ‘antenna margin’ figure in the datasheet / other means to inform device integrators of the maximum antenna gain permitted to ensure the device is compliant to ETSI when radiated testing is performed, permitting testing over a conducted interface for early-stage indicators for certification. </w:t>
      </w:r>
    </w:p>
    <w:p w14:paraId="27EF7DED" w14:textId="77777777" w:rsidR="006B3122" w:rsidRPr="006B3122" w:rsidRDefault="006B3122" w:rsidP="006B3122">
      <w:pPr>
        <w:rPr>
          <w:b/>
          <w:bCs/>
          <w:i/>
          <w:iCs/>
        </w:rPr>
      </w:pPr>
      <w:r>
        <w:rPr>
          <w:b/>
          <w:bCs/>
          <w:i/>
          <w:iCs/>
        </w:rPr>
        <w:t xml:space="preserve">Proposal 2: Ensure we define ‘nominated bandwidth’ in the 3GPP specification to align with ETSI EN 301 681 as much as possible, so there are no surprises when regulatory certification is sought: </w:t>
      </w:r>
      <w:r w:rsidRPr="00507A3F">
        <w:rPr>
          <w:b/>
          <w:bCs/>
          <w:i/>
          <w:iCs/>
        </w:rPr>
        <w:t xml:space="preserve">“nominated bandwidth (Bn): </w:t>
      </w:r>
      <w:r w:rsidRPr="006B3122">
        <w:rPr>
          <w:b/>
          <w:bCs/>
          <w:i/>
          <w:iCs/>
        </w:rPr>
        <w:t>bandwidth of the MES radio frequency transmission that is nominated by the applicant and that is wide enough to encompass all spectral elements of the transmission necessary for communication and which have a level greater than the specified unwanted emissions limits; also the nominated bandwidth is centred on the transmit frequency and does not exceed 180 % of the 3 dB bandwidth of the signal and is within the assigned part of the MSS transmit frequency band within which the MES operates</w:t>
      </w:r>
    </w:p>
    <w:p w14:paraId="29BEACDE" w14:textId="77777777" w:rsidR="006B3122" w:rsidRPr="006B3122" w:rsidRDefault="006B3122" w:rsidP="006B3122">
      <w:pPr>
        <w:rPr>
          <w:b/>
          <w:bCs/>
          <w:i/>
          <w:iCs/>
        </w:rPr>
      </w:pPr>
      <w:r w:rsidRPr="006B3122">
        <w:rPr>
          <w:b/>
          <w:bCs/>
          <w:i/>
          <w:iCs/>
        </w:rPr>
        <w:t>NOTE: The nominated bandwidth is wide enough to take account of the transmit carrier frequency stability.”</w:t>
      </w:r>
    </w:p>
    <w:p w14:paraId="5A5A37FC" w14:textId="0934D26C" w:rsidR="0001596D" w:rsidRDefault="0001596D" w:rsidP="0001596D">
      <w:pPr>
        <w:rPr>
          <w:b/>
          <w:bCs/>
          <w:i/>
          <w:iCs/>
        </w:rPr>
      </w:pPr>
      <w:r w:rsidRPr="0092169C">
        <w:rPr>
          <w:b/>
          <w:bCs/>
          <w:i/>
          <w:iCs/>
        </w:rPr>
        <w:t xml:space="preserve">Proposal </w:t>
      </w:r>
      <w:r>
        <w:rPr>
          <w:b/>
          <w:bCs/>
          <w:i/>
          <w:iCs/>
        </w:rPr>
        <w:t>3</w:t>
      </w:r>
      <w:r w:rsidRPr="0092169C">
        <w:rPr>
          <w:b/>
          <w:bCs/>
          <w:i/>
          <w:iCs/>
        </w:rPr>
        <w:t>: Define a region-spe</w:t>
      </w:r>
      <w:r>
        <w:rPr>
          <w:b/>
          <w:bCs/>
          <w:i/>
          <w:iCs/>
        </w:rPr>
        <w:t>cific NS flag mandating EN 301 681 in-band emissions profiles. The device implementer can take this from the edge of the declared nominated bandwidth of the UE transmission. The back-off will be dependent on the number of tones or RBs allocated to the UE and the EIRP of the UE</w:t>
      </w:r>
    </w:p>
    <w:p w14:paraId="5222A01A" w14:textId="26BAA806" w:rsidR="0001596D" w:rsidRDefault="0001596D" w:rsidP="0001596D">
      <w:pPr>
        <w:rPr>
          <w:b/>
          <w:bCs/>
          <w:i/>
          <w:iCs/>
        </w:rPr>
      </w:pPr>
      <w:r w:rsidRPr="00F11D88">
        <w:rPr>
          <w:b/>
          <w:bCs/>
          <w:i/>
          <w:iCs/>
        </w:rPr>
        <w:t xml:space="preserve">Proposal </w:t>
      </w:r>
      <w:r>
        <w:rPr>
          <w:b/>
          <w:bCs/>
          <w:i/>
          <w:iCs/>
        </w:rPr>
        <w:t>4</w:t>
      </w:r>
      <w:r w:rsidRPr="00F11D88">
        <w:rPr>
          <w:b/>
          <w:bCs/>
          <w:i/>
          <w:iCs/>
        </w:rPr>
        <w:t>: Define a region-spe</w:t>
      </w:r>
      <w:r>
        <w:rPr>
          <w:b/>
          <w:bCs/>
          <w:i/>
          <w:iCs/>
        </w:rPr>
        <w:t>cific NS flag mandating EN 301 681 out-of-band emissions profiles. The device implementer will have to calibrate the UE to understand its EIRP spectrum emissions performance for different tone or RB configurations, and how much to back-off based on the transmission’s position in the frequency domain.</w:t>
      </w:r>
    </w:p>
    <w:p w14:paraId="1564F252" w14:textId="039BCD9C" w:rsidR="0001596D" w:rsidRPr="00F11D88" w:rsidRDefault="0001596D" w:rsidP="0001596D">
      <w:r>
        <w:rPr>
          <w:b/>
          <w:bCs/>
          <w:i/>
          <w:iCs/>
        </w:rPr>
        <w:t>Proposal 5: Define a cell-specific NS flag mandating EN 301 681 protection of RA stations (i.e. Tx-off level) to cover the bands from 1660-1660.5MHz and 1668-1670MHz. The device implemented will have to calibrate the UE to understand its EIRP spectrum emissions performance for different tone or RB configurations, and how much to back-off based on the transmission’s position in the frequency domain.</w:t>
      </w:r>
    </w:p>
    <w:p w14:paraId="28F2E4F4" w14:textId="749A4EFF" w:rsidR="0001596D" w:rsidRPr="006E1790" w:rsidRDefault="0001596D" w:rsidP="00743F2F"/>
    <w:sectPr w:rsidR="0001596D" w:rsidRPr="006E179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380E9" w14:textId="77777777" w:rsidR="000B6E8C" w:rsidRDefault="000B6E8C">
      <w:pPr>
        <w:spacing w:after="0"/>
      </w:pPr>
      <w:r>
        <w:separator/>
      </w:r>
    </w:p>
  </w:endnote>
  <w:endnote w:type="continuationSeparator" w:id="0">
    <w:p w14:paraId="76A08FAF" w14:textId="77777777" w:rsidR="000B6E8C" w:rsidRDefault="000B6E8C">
      <w:pPr>
        <w:spacing w:after="0"/>
      </w:pPr>
      <w:r>
        <w:continuationSeparator/>
      </w:r>
    </w:p>
  </w:endnote>
  <w:endnote w:type="continuationNotice" w:id="1">
    <w:p w14:paraId="27029CCE" w14:textId="77777777" w:rsidR="000B6E8C" w:rsidRDefault="000B6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9383D2F" w14:paraId="2CBA7B3B" w14:textId="77777777" w:rsidTr="49383D2F">
      <w:trPr>
        <w:trHeight w:val="300"/>
      </w:trPr>
      <w:tc>
        <w:tcPr>
          <w:tcW w:w="3210" w:type="dxa"/>
        </w:tcPr>
        <w:p w14:paraId="4A12274F" w14:textId="089A90DD" w:rsidR="49383D2F" w:rsidRDefault="49383D2F" w:rsidP="49383D2F">
          <w:pPr>
            <w:pStyle w:val="Header"/>
            <w:ind w:left="-115"/>
          </w:pPr>
        </w:p>
      </w:tc>
      <w:tc>
        <w:tcPr>
          <w:tcW w:w="3210" w:type="dxa"/>
        </w:tcPr>
        <w:p w14:paraId="29574196" w14:textId="08248A95" w:rsidR="49383D2F" w:rsidRDefault="49383D2F" w:rsidP="49383D2F">
          <w:pPr>
            <w:pStyle w:val="Header"/>
            <w:jc w:val="center"/>
          </w:pPr>
        </w:p>
      </w:tc>
      <w:tc>
        <w:tcPr>
          <w:tcW w:w="3210" w:type="dxa"/>
        </w:tcPr>
        <w:p w14:paraId="4B3D5535" w14:textId="643ACBED" w:rsidR="49383D2F" w:rsidRDefault="49383D2F" w:rsidP="49383D2F">
          <w:pPr>
            <w:pStyle w:val="Header"/>
            <w:ind w:right="-115"/>
            <w:jc w:val="right"/>
          </w:pPr>
        </w:p>
      </w:tc>
    </w:tr>
  </w:tbl>
  <w:p w14:paraId="32BC6482" w14:textId="4547CAC4" w:rsidR="008B51AF" w:rsidRDefault="008B5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15ED" w14:textId="77777777" w:rsidR="000B6E8C" w:rsidRDefault="000B6E8C">
      <w:pPr>
        <w:spacing w:after="0"/>
      </w:pPr>
      <w:r>
        <w:separator/>
      </w:r>
    </w:p>
  </w:footnote>
  <w:footnote w:type="continuationSeparator" w:id="0">
    <w:p w14:paraId="6EA4B28D" w14:textId="77777777" w:rsidR="000B6E8C" w:rsidRDefault="000B6E8C">
      <w:pPr>
        <w:spacing w:after="0"/>
      </w:pPr>
      <w:r>
        <w:continuationSeparator/>
      </w:r>
    </w:p>
  </w:footnote>
  <w:footnote w:type="continuationNotice" w:id="1">
    <w:p w14:paraId="4A0C3E66" w14:textId="77777777" w:rsidR="000B6E8C" w:rsidRDefault="000B6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64EF" w14:textId="77777777" w:rsidR="00EF79E3" w:rsidRDefault="00EF79E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9383D2F" w14:paraId="76DBF71C" w14:textId="77777777" w:rsidTr="49383D2F">
      <w:trPr>
        <w:trHeight w:val="300"/>
      </w:trPr>
      <w:tc>
        <w:tcPr>
          <w:tcW w:w="3210" w:type="dxa"/>
        </w:tcPr>
        <w:p w14:paraId="1B5DDCC7" w14:textId="058161D1" w:rsidR="49383D2F" w:rsidRDefault="49383D2F" w:rsidP="49383D2F">
          <w:pPr>
            <w:pStyle w:val="Header"/>
            <w:ind w:left="-115"/>
          </w:pPr>
        </w:p>
      </w:tc>
      <w:tc>
        <w:tcPr>
          <w:tcW w:w="3210" w:type="dxa"/>
        </w:tcPr>
        <w:p w14:paraId="0D49836B" w14:textId="4AFACDF4" w:rsidR="49383D2F" w:rsidRDefault="49383D2F" w:rsidP="49383D2F">
          <w:pPr>
            <w:pStyle w:val="Header"/>
            <w:jc w:val="center"/>
          </w:pPr>
        </w:p>
      </w:tc>
      <w:tc>
        <w:tcPr>
          <w:tcW w:w="3210" w:type="dxa"/>
        </w:tcPr>
        <w:p w14:paraId="53CFA366" w14:textId="7C03B908" w:rsidR="49383D2F" w:rsidRDefault="49383D2F" w:rsidP="49383D2F">
          <w:pPr>
            <w:pStyle w:val="Header"/>
            <w:ind w:right="-115"/>
            <w:jc w:val="right"/>
          </w:pPr>
        </w:p>
      </w:tc>
    </w:tr>
  </w:tbl>
  <w:p w14:paraId="72D6C2B2" w14:textId="70393EAA" w:rsidR="008B51AF" w:rsidRDefault="008B5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1969"/>
    <w:multiLevelType w:val="multilevel"/>
    <w:tmpl w:val="4516CC6C"/>
    <w:lvl w:ilvl="0">
      <w:start w:val="4"/>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E717A35"/>
    <w:multiLevelType w:val="multilevel"/>
    <w:tmpl w:val="513E3F1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F7139C5"/>
    <w:multiLevelType w:val="hybridMultilevel"/>
    <w:tmpl w:val="56A427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4180E42"/>
    <w:multiLevelType w:val="hybridMultilevel"/>
    <w:tmpl w:val="96C8FED2"/>
    <w:lvl w:ilvl="0" w:tplc="DBCCA4AA">
      <w:start w:val="15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E954CE"/>
    <w:multiLevelType w:val="hybridMultilevel"/>
    <w:tmpl w:val="8EF82520"/>
    <w:lvl w:ilvl="0" w:tplc="87623062">
      <w:start w:val="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25212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4B54D8"/>
    <w:multiLevelType w:val="hybridMultilevel"/>
    <w:tmpl w:val="45845022"/>
    <w:lvl w:ilvl="0" w:tplc="D91C9AC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75491"/>
    <w:multiLevelType w:val="hybridMultilevel"/>
    <w:tmpl w:val="56A427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8545CD7"/>
    <w:multiLevelType w:val="hybridMultilevel"/>
    <w:tmpl w:val="E42E478C"/>
    <w:lvl w:ilvl="0" w:tplc="6E5AD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28219E"/>
    <w:multiLevelType w:val="hybridMultilevel"/>
    <w:tmpl w:val="D938D69E"/>
    <w:lvl w:ilvl="0" w:tplc="AFA831FC">
      <w:start w:val="15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A2538D"/>
    <w:multiLevelType w:val="hybridMultilevel"/>
    <w:tmpl w:val="0C380A8A"/>
    <w:lvl w:ilvl="0" w:tplc="9612B97A">
      <w:numFmt w:val="bullet"/>
      <w:lvlText w:val="-"/>
      <w:lvlJc w:val="left"/>
      <w:pPr>
        <w:ind w:left="1267" w:hanging="360"/>
      </w:pPr>
      <w:rPr>
        <w:rFonts w:ascii="Arial" w:eastAsiaTheme="minorHAnsi" w:hAnsi="Arial" w:cs="Arial" w:hint="default"/>
      </w:rPr>
    </w:lvl>
    <w:lvl w:ilvl="1" w:tplc="08090003">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16cid:durableId="873226880">
    <w:abstractNumId w:val="1"/>
  </w:num>
  <w:num w:numId="2" w16cid:durableId="1422875722">
    <w:abstractNumId w:val="10"/>
  </w:num>
  <w:num w:numId="3" w16cid:durableId="1740512952">
    <w:abstractNumId w:val="0"/>
  </w:num>
  <w:num w:numId="4" w16cid:durableId="1592742014">
    <w:abstractNumId w:val="2"/>
  </w:num>
  <w:num w:numId="5" w16cid:durableId="38214605">
    <w:abstractNumId w:val="7"/>
  </w:num>
  <w:num w:numId="6" w16cid:durableId="1528525574">
    <w:abstractNumId w:val="6"/>
  </w:num>
  <w:num w:numId="7" w16cid:durableId="1444108559">
    <w:abstractNumId w:val="8"/>
  </w:num>
  <w:num w:numId="8" w16cid:durableId="1216620214">
    <w:abstractNumId w:val="5"/>
  </w:num>
  <w:num w:numId="9" w16cid:durableId="386412605">
    <w:abstractNumId w:val="9"/>
  </w:num>
  <w:num w:numId="10" w16cid:durableId="903611100">
    <w:abstractNumId w:val="3"/>
  </w:num>
  <w:num w:numId="11" w16cid:durableId="4900963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9E3"/>
    <w:rsid w:val="00004133"/>
    <w:rsid w:val="000063A9"/>
    <w:rsid w:val="0001289C"/>
    <w:rsid w:val="00014A12"/>
    <w:rsid w:val="0001596D"/>
    <w:rsid w:val="00037773"/>
    <w:rsid w:val="0004506E"/>
    <w:rsid w:val="00046878"/>
    <w:rsid w:val="000470B2"/>
    <w:rsid w:val="00050792"/>
    <w:rsid w:val="000565F3"/>
    <w:rsid w:val="000611C6"/>
    <w:rsid w:val="000725AF"/>
    <w:rsid w:val="000744A6"/>
    <w:rsid w:val="00075023"/>
    <w:rsid w:val="00080964"/>
    <w:rsid w:val="00092E86"/>
    <w:rsid w:val="00096BA5"/>
    <w:rsid w:val="000A132F"/>
    <w:rsid w:val="000A2736"/>
    <w:rsid w:val="000B2AED"/>
    <w:rsid w:val="000B5EAA"/>
    <w:rsid w:val="000B6E8C"/>
    <w:rsid w:val="000C0A37"/>
    <w:rsid w:val="000C34E3"/>
    <w:rsid w:val="000C38F8"/>
    <w:rsid w:val="000C6A08"/>
    <w:rsid w:val="000D7704"/>
    <w:rsid w:val="000E3D8A"/>
    <w:rsid w:val="000E6539"/>
    <w:rsid w:val="000F388A"/>
    <w:rsid w:val="000F436F"/>
    <w:rsid w:val="000F539B"/>
    <w:rsid w:val="000F5F70"/>
    <w:rsid w:val="000F613E"/>
    <w:rsid w:val="000F6DD7"/>
    <w:rsid w:val="000F7C80"/>
    <w:rsid w:val="00110882"/>
    <w:rsid w:val="00115A52"/>
    <w:rsid w:val="001228B0"/>
    <w:rsid w:val="0012353C"/>
    <w:rsid w:val="00123A48"/>
    <w:rsid w:val="00125E9C"/>
    <w:rsid w:val="00130EEE"/>
    <w:rsid w:val="00131269"/>
    <w:rsid w:val="00141397"/>
    <w:rsid w:val="00144A4F"/>
    <w:rsid w:val="00147BDD"/>
    <w:rsid w:val="00154753"/>
    <w:rsid w:val="00161249"/>
    <w:rsid w:val="00164F4A"/>
    <w:rsid w:val="001666BD"/>
    <w:rsid w:val="0017258F"/>
    <w:rsid w:val="00177DDE"/>
    <w:rsid w:val="00191155"/>
    <w:rsid w:val="001922F3"/>
    <w:rsid w:val="00192400"/>
    <w:rsid w:val="00193B49"/>
    <w:rsid w:val="00193BDC"/>
    <w:rsid w:val="00195C4D"/>
    <w:rsid w:val="00196161"/>
    <w:rsid w:val="001A1332"/>
    <w:rsid w:val="001A1CAC"/>
    <w:rsid w:val="001A28D4"/>
    <w:rsid w:val="001A3B99"/>
    <w:rsid w:val="001A7996"/>
    <w:rsid w:val="001B01A4"/>
    <w:rsid w:val="001B06FA"/>
    <w:rsid w:val="001B1054"/>
    <w:rsid w:val="001B5E40"/>
    <w:rsid w:val="001B6C7E"/>
    <w:rsid w:val="001B795F"/>
    <w:rsid w:val="001C1E1C"/>
    <w:rsid w:val="001C31C3"/>
    <w:rsid w:val="001C50B6"/>
    <w:rsid w:val="001C646C"/>
    <w:rsid w:val="001D2465"/>
    <w:rsid w:val="001D2C96"/>
    <w:rsid w:val="001E056F"/>
    <w:rsid w:val="001E1FA2"/>
    <w:rsid w:val="001E2EC9"/>
    <w:rsid w:val="001F4EE5"/>
    <w:rsid w:val="001F5CC6"/>
    <w:rsid w:val="001F7AFE"/>
    <w:rsid w:val="00200D4A"/>
    <w:rsid w:val="002012B6"/>
    <w:rsid w:val="00204CA2"/>
    <w:rsid w:val="00214F16"/>
    <w:rsid w:val="00215C8E"/>
    <w:rsid w:val="002213A3"/>
    <w:rsid w:val="00226220"/>
    <w:rsid w:val="00227941"/>
    <w:rsid w:val="00231C14"/>
    <w:rsid w:val="0023767E"/>
    <w:rsid w:val="002401D5"/>
    <w:rsid w:val="002429AC"/>
    <w:rsid w:val="0024308A"/>
    <w:rsid w:val="0024316C"/>
    <w:rsid w:val="00243A22"/>
    <w:rsid w:val="00247111"/>
    <w:rsid w:val="002514C1"/>
    <w:rsid w:val="0025226E"/>
    <w:rsid w:val="00253847"/>
    <w:rsid w:val="00253DCD"/>
    <w:rsid w:val="00255C08"/>
    <w:rsid w:val="00271F04"/>
    <w:rsid w:val="00272D03"/>
    <w:rsid w:val="0027388D"/>
    <w:rsid w:val="00280485"/>
    <w:rsid w:val="002816EF"/>
    <w:rsid w:val="00283557"/>
    <w:rsid w:val="002A1AE7"/>
    <w:rsid w:val="002A67E1"/>
    <w:rsid w:val="002A7670"/>
    <w:rsid w:val="002B1B76"/>
    <w:rsid w:val="002C4AC2"/>
    <w:rsid w:val="002C6BA9"/>
    <w:rsid w:val="002C6E6B"/>
    <w:rsid w:val="002E7C6F"/>
    <w:rsid w:val="002F3299"/>
    <w:rsid w:val="002F477C"/>
    <w:rsid w:val="002F54F4"/>
    <w:rsid w:val="00302C3F"/>
    <w:rsid w:val="00305075"/>
    <w:rsid w:val="00306BE1"/>
    <w:rsid w:val="00310D49"/>
    <w:rsid w:val="00313987"/>
    <w:rsid w:val="00321C1E"/>
    <w:rsid w:val="00331096"/>
    <w:rsid w:val="00336DE7"/>
    <w:rsid w:val="00350112"/>
    <w:rsid w:val="00353E9A"/>
    <w:rsid w:val="00354954"/>
    <w:rsid w:val="00355E78"/>
    <w:rsid w:val="00363E95"/>
    <w:rsid w:val="00374BCF"/>
    <w:rsid w:val="00380DED"/>
    <w:rsid w:val="00381057"/>
    <w:rsid w:val="00384D16"/>
    <w:rsid w:val="00386876"/>
    <w:rsid w:val="00387A39"/>
    <w:rsid w:val="00390741"/>
    <w:rsid w:val="003924DA"/>
    <w:rsid w:val="003938C0"/>
    <w:rsid w:val="00394115"/>
    <w:rsid w:val="003A2EF0"/>
    <w:rsid w:val="003A3C26"/>
    <w:rsid w:val="003A57E0"/>
    <w:rsid w:val="003A5EA3"/>
    <w:rsid w:val="003A7699"/>
    <w:rsid w:val="003B06AA"/>
    <w:rsid w:val="003B5209"/>
    <w:rsid w:val="003C1114"/>
    <w:rsid w:val="003C31BE"/>
    <w:rsid w:val="003C3234"/>
    <w:rsid w:val="003C68AB"/>
    <w:rsid w:val="003C6B7D"/>
    <w:rsid w:val="003D1A62"/>
    <w:rsid w:val="003E076C"/>
    <w:rsid w:val="003E07CE"/>
    <w:rsid w:val="003E294D"/>
    <w:rsid w:val="003E30E8"/>
    <w:rsid w:val="003E3E77"/>
    <w:rsid w:val="003E4FF0"/>
    <w:rsid w:val="003F108C"/>
    <w:rsid w:val="003F279B"/>
    <w:rsid w:val="0040193F"/>
    <w:rsid w:val="004023A2"/>
    <w:rsid w:val="00404F0B"/>
    <w:rsid w:val="004074C8"/>
    <w:rsid w:val="00411462"/>
    <w:rsid w:val="00415351"/>
    <w:rsid w:val="00415904"/>
    <w:rsid w:val="00422C30"/>
    <w:rsid w:val="00424DAD"/>
    <w:rsid w:val="004252E6"/>
    <w:rsid w:val="0042641C"/>
    <w:rsid w:val="00430CB2"/>
    <w:rsid w:val="004318C8"/>
    <w:rsid w:val="00432AD8"/>
    <w:rsid w:val="0043593B"/>
    <w:rsid w:val="004375D1"/>
    <w:rsid w:val="00442612"/>
    <w:rsid w:val="00443279"/>
    <w:rsid w:val="00445F92"/>
    <w:rsid w:val="00450068"/>
    <w:rsid w:val="00455037"/>
    <w:rsid w:val="00461A44"/>
    <w:rsid w:val="00466E97"/>
    <w:rsid w:val="00482E0B"/>
    <w:rsid w:val="004850B7"/>
    <w:rsid w:val="00486CBF"/>
    <w:rsid w:val="004879FC"/>
    <w:rsid w:val="00487CDF"/>
    <w:rsid w:val="00487EB3"/>
    <w:rsid w:val="00490BFE"/>
    <w:rsid w:val="0049373F"/>
    <w:rsid w:val="004972D6"/>
    <w:rsid w:val="004A0A76"/>
    <w:rsid w:val="004A1542"/>
    <w:rsid w:val="004A7951"/>
    <w:rsid w:val="004A7CA7"/>
    <w:rsid w:val="004B0AD4"/>
    <w:rsid w:val="004B4A2C"/>
    <w:rsid w:val="004B4FA2"/>
    <w:rsid w:val="004B7567"/>
    <w:rsid w:val="004B7A12"/>
    <w:rsid w:val="004C29DC"/>
    <w:rsid w:val="004C56E9"/>
    <w:rsid w:val="004C79C6"/>
    <w:rsid w:val="004D0032"/>
    <w:rsid w:val="004D21D1"/>
    <w:rsid w:val="004D4DBE"/>
    <w:rsid w:val="004D59AC"/>
    <w:rsid w:val="004D6BDB"/>
    <w:rsid w:val="004E2054"/>
    <w:rsid w:val="004E50E2"/>
    <w:rsid w:val="004E5279"/>
    <w:rsid w:val="004F3F3A"/>
    <w:rsid w:val="004F4AEF"/>
    <w:rsid w:val="004F7AF6"/>
    <w:rsid w:val="00505CA9"/>
    <w:rsid w:val="00507A3F"/>
    <w:rsid w:val="00512103"/>
    <w:rsid w:val="00513CDD"/>
    <w:rsid w:val="005179BA"/>
    <w:rsid w:val="005207BC"/>
    <w:rsid w:val="00524AF6"/>
    <w:rsid w:val="005311FF"/>
    <w:rsid w:val="00534AEA"/>
    <w:rsid w:val="00534FCD"/>
    <w:rsid w:val="00540B64"/>
    <w:rsid w:val="0054294F"/>
    <w:rsid w:val="00545A53"/>
    <w:rsid w:val="0055097D"/>
    <w:rsid w:val="00554BA8"/>
    <w:rsid w:val="00555012"/>
    <w:rsid w:val="005575C4"/>
    <w:rsid w:val="00561369"/>
    <w:rsid w:val="00562A17"/>
    <w:rsid w:val="00563150"/>
    <w:rsid w:val="00572AFA"/>
    <w:rsid w:val="00576DB6"/>
    <w:rsid w:val="00591C47"/>
    <w:rsid w:val="005924CE"/>
    <w:rsid w:val="005927B8"/>
    <w:rsid w:val="005931A7"/>
    <w:rsid w:val="00594F8B"/>
    <w:rsid w:val="00595547"/>
    <w:rsid w:val="005966FF"/>
    <w:rsid w:val="005A0E9E"/>
    <w:rsid w:val="005A167E"/>
    <w:rsid w:val="005A3DAB"/>
    <w:rsid w:val="005A64A6"/>
    <w:rsid w:val="005A6935"/>
    <w:rsid w:val="005B2D74"/>
    <w:rsid w:val="005C00C6"/>
    <w:rsid w:val="005C2214"/>
    <w:rsid w:val="005C637D"/>
    <w:rsid w:val="005C68D8"/>
    <w:rsid w:val="005D2AA2"/>
    <w:rsid w:val="005D5C51"/>
    <w:rsid w:val="005E03B2"/>
    <w:rsid w:val="005E08D9"/>
    <w:rsid w:val="005E4588"/>
    <w:rsid w:val="005E7200"/>
    <w:rsid w:val="005F4DB0"/>
    <w:rsid w:val="005F7910"/>
    <w:rsid w:val="00600ECA"/>
    <w:rsid w:val="0060330E"/>
    <w:rsid w:val="006047B3"/>
    <w:rsid w:val="0061133D"/>
    <w:rsid w:val="00611D73"/>
    <w:rsid w:val="00613311"/>
    <w:rsid w:val="00620E14"/>
    <w:rsid w:val="006211A6"/>
    <w:rsid w:val="006240D9"/>
    <w:rsid w:val="00624826"/>
    <w:rsid w:val="00626FD8"/>
    <w:rsid w:val="00634370"/>
    <w:rsid w:val="00637267"/>
    <w:rsid w:val="00646E02"/>
    <w:rsid w:val="0064767A"/>
    <w:rsid w:val="00647BAC"/>
    <w:rsid w:val="006565DA"/>
    <w:rsid w:val="006574A7"/>
    <w:rsid w:val="00660FE1"/>
    <w:rsid w:val="00661150"/>
    <w:rsid w:val="006626D8"/>
    <w:rsid w:val="006711F8"/>
    <w:rsid w:val="00677479"/>
    <w:rsid w:val="00687499"/>
    <w:rsid w:val="0068756B"/>
    <w:rsid w:val="00687A1C"/>
    <w:rsid w:val="006A086A"/>
    <w:rsid w:val="006A2965"/>
    <w:rsid w:val="006A5134"/>
    <w:rsid w:val="006A67D1"/>
    <w:rsid w:val="006A7D49"/>
    <w:rsid w:val="006B3122"/>
    <w:rsid w:val="006B498C"/>
    <w:rsid w:val="006B49B0"/>
    <w:rsid w:val="006B4D01"/>
    <w:rsid w:val="006B5DF5"/>
    <w:rsid w:val="006B7C37"/>
    <w:rsid w:val="006C170F"/>
    <w:rsid w:val="006C1FEA"/>
    <w:rsid w:val="006C2E1F"/>
    <w:rsid w:val="006C3B4F"/>
    <w:rsid w:val="006C3D59"/>
    <w:rsid w:val="006C3DE1"/>
    <w:rsid w:val="006C6704"/>
    <w:rsid w:val="006C7CAD"/>
    <w:rsid w:val="006D0FCE"/>
    <w:rsid w:val="006D2321"/>
    <w:rsid w:val="006D6CEB"/>
    <w:rsid w:val="006E1790"/>
    <w:rsid w:val="006E1F16"/>
    <w:rsid w:val="006E287E"/>
    <w:rsid w:val="006F290B"/>
    <w:rsid w:val="006F7AC3"/>
    <w:rsid w:val="00705C76"/>
    <w:rsid w:val="00706C9B"/>
    <w:rsid w:val="00714F6D"/>
    <w:rsid w:val="00715728"/>
    <w:rsid w:val="00717E7F"/>
    <w:rsid w:val="00723A4F"/>
    <w:rsid w:val="00724BF8"/>
    <w:rsid w:val="00734C54"/>
    <w:rsid w:val="007351B2"/>
    <w:rsid w:val="007367E7"/>
    <w:rsid w:val="00736D0E"/>
    <w:rsid w:val="00737157"/>
    <w:rsid w:val="00743F2F"/>
    <w:rsid w:val="007456B3"/>
    <w:rsid w:val="007555AC"/>
    <w:rsid w:val="00755650"/>
    <w:rsid w:val="007703E7"/>
    <w:rsid w:val="00770B61"/>
    <w:rsid w:val="00775885"/>
    <w:rsid w:val="007834E2"/>
    <w:rsid w:val="00786417"/>
    <w:rsid w:val="00794196"/>
    <w:rsid w:val="0079547C"/>
    <w:rsid w:val="0079780C"/>
    <w:rsid w:val="00797DB4"/>
    <w:rsid w:val="007B0C9B"/>
    <w:rsid w:val="007B28DA"/>
    <w:rsid w:val="007B6819"/>
    <w:rsid w:val="007B75BA"/>
    <w:rsid w:val="007C4B8E"/>
    <w:rsid w:val="007C653D"/>
    <w:rsid w:val="007C78B3"/>
    <w:rsid w:val="007D2C90"/>
    <w:rsid w:val="007E0312"/>
    <w:rsid w:val="007E1598"/>
    <w:rsid w:val="007E3D14"/>
    <w:rsid w:val="007E6027"/>
    <w:rsid w:val="007F05E6"/>
    <w:rsid w:val="007F3442"/>
    <w:rsid w:val="007F61FE"/>
    <w:rsid w:val="007F74B5"/>
    <w:rsid w:val="007F7674"/>
    <w:rsid w:val="007F7D92"/>
    <w:rsid w:val="00802BCE"/>
    <w:rsid w:val="00803503"/>
    <w:rsid w:val="008052A6"/>
    <w:rsid w:val="00807142"/>
    <w:rsid w:val="0081058B"/>
    <w:rsid w:val="00811EEF"/>
    <w:rsid w:val="008153A7"/>
    <w:rsid w:val="0081698A"/>
    <w:rsid w:val="00816B5A"/>
    <w:rsid w:val="00821C2A"/>
    <w:rsid w:val="00823058"/>
    <w:rsid w:val="00825251"/>
    <w:rsid w:val="008277C2"/>
    <w:rsid w:val="00833CD1"/>
    <w:rsid w:val="008354E6"/>
    <w:rsid w:val="00836591"/>
    <w:rsid w:val="008419FF"/>
    <w:rsid w:val="008560B8"/>
    <w:rsid w:val="00862469"/>
    <w:rsid w:val="008646DB"/>
    <w:rsid w:val="008649E5"/>
    <w:rsid w:val="00865872"/>
    <w:rsid w:val="00867A39"/>
    <w:rsid w:val="00873D5B"/>
    <w:rsid w:val="0088016D"/>
    <w:rsid w:val="00880B64"/>
    <w:rsid w:val="008815DB"/>
    <w:rsid w:val="00886F1E"/>
    <w:rsid w:val="00894D5C"/>
    <w:rsid w:val="008A0ECF"/>
    <w:rsid w:val="008A3701"/>
    <w:rsid w:val="008A571C"/>
    <w:rsid w:val="008A6E5C"/>
    <w:rsid w:val="008B04E5"/>
    <w:rsid w:val="008B0F75"/>
    <w:rsid w:val="008B51AF"/>
    <w:rsid w:val="008B690B"/>
    <w:rsid w:val="008B6FED"/>
    <w:rsid w:val="008B7A80"/>
    <w:rsid w:val="008C3B97"/>
    <w:rsid w:val="008C6BCA"/>
    <w:rsid w:val="008D0017"/>
    <w:rsid w:val="008D0967"/>
    <w:rsid w:val="008D2A6A"/>
    <w:rsid w:val="008D419F"/>
    <w:rsid w:val="008D7ADD"/>
    <w:rsid w:val="008E00EA"/>
    <w:rsid w:val="008E4233"/>
    <w:rsid w:val="008E5FA0"/>
    <w:rsid w:val="008F0020"/>
    <w:rsid w:val="008F0FF3"/>
    <w:rsid w:val="008F2CF6"/>
    <w:rsid w:val="0090455A"/>
    <w:rsid w:val="009053DB"/>
    <w:rsid w:val="0090621E"/>
    <w:rsid w:val="00912626"/>
    <w:rsid w:val="00912740"/>
    <w:rsid w:val="0091284F"/>
    <w:rsid w:val="009128AE"/>
    <w:rsid w:val="00912C2E"/>
    <w:rsid w:val="0092169C"/>
    <w:rsid w:val="00921970"/>
    <w:rsid w:val="009244F9"/>
    <w:rsid w:val="00927341"/>
    <w:rsid w:val="00930869"/>
    <w:rsid w:val="00931C2B"/>
    <w:rsid w:val="00936BD0"/>
    <w:rsid w:val="00937DD0"/>
    <w:rsid w:val="009417F9"/>
    <w:rsid w:val="0094333D"/>
    <w:rsid w:val="00944070"/>
    <w:rsid w:val="00945CAE"/>
    <w:rsid w:val="009476C8"/>
    <w:rsid w:val="009517F6"/>
    <w:rsid w:val="009518FC"/>
    <w:rsid w:val="00952344"/>
    <w:rsid w:val="009524FB"/>
    <w:rsid w:val="00952AE1"/>
    <w:rsid w:val="00952FB1"/>
    <w:rsid w:val="009564A2"/>
    <w:rsid w:val="0096366C"/>
    <w:rsid w:val="00970A0A"/>
    <w:rsid w:val="00970FD2"/>
    <w:rsid w:val="009712C1"/>
    <w:rsid w:val="00976DB2"/>
    <w:rsid w:val="00980637"/>
    <w:rsid w:val="00981F3C"/>
    <w:rsid w:val="00983CD8"/>
    <w:rsid w:val="00990DB1"/>
    <w:rsid w:val="0099120D"/>
    <w:rsid w:val="00993696"/>
    <w:rsid w:val="009A2DC0"/>
    <w:rsid w:val="009A32A3"/>
    <w:rsid w:val="009A3B67"/>
    <w:rsid w:val="009A5293"/>
    <w:rsid w:val="009B23C8"/>
    <w:rsid w:val="009B2D75"/>
    <w:rsid w:val="009B32F1"/>
    <w:rsid w:val="009B6D49"/>
    <w:rsid w:val="009C0188"/>
    <w:rsid w:val="009C15C8"/>
    <w:rsid w:val="009C7F03"/>
    <w:rsid w:val="009E1873"/>
    <w:rsid w:val="009E2BE3"/>
    <w:rsid w:val="009E490C"/>
    <w:rsid w:val="009E6323"/>
    <w:rsid w:val="009F27EB"/>
    <w:rsid w:val="009F3940"/>
    <w:rsid w:val="009F396C"/>
    <w:rsid w:val="009F5B8E"/>
    <w:rsid w:val="00A045F6"/>
    <w:rsid w:val="00A109B1"/>
    <w:rsid w:val="00A10CE5"/>
    <w:rsid w:val="00A113DB"/>
    <w:rsid w:val="00A11A57"/>
    <w:rsid w:val="00A162C2"/>
    <w:rsid w:val="00A17E82"/>
    <w:rsid w:val="00A21F06"/>
    <w:rsid w:val="00A230FB"/>
    <w:rsid w:val="00A25414"/>
    <w:rsid w:val="00A30F6A"/>
    <w:rsid w:val="00A36907"/>
    <w:rsid w:val="00A45D0B"/>
    <w:rsid w:val="00A53BA2"/>
    <w:rsid w:val="00A55580"/>
    <w:rsid w:val="00A55F63"/>
    <w:rsid w:val="00A605D6"/>
    <w:rsid w:val="00A61894"/>
    <w:rsid w:val="00A652EE"/>
    <w:rsid w:val="00A65643"/>
    <w:rsid w:val="00A671C6"/>
    <w:rsid w:val="00A679CE"/>
    <w:rsid w:val="00A74BA0"/>
    <w:rsid w:val="00A74C9C"/>
    <w:rsid w:val="00A8239D"/>
    <w:rsid w:val="00A82407"/>
    <w:rsid w:val="00A829F6"/>
    <w:rsid w:val="00A83BB5"/>
    <w:rsid w:val="00A85F5B"/>
    <w:rsid w:val="00A865E3"/>
    <w:rsid w:val="00A94FE7"/>
    <w:rsid w:val="00A96081"/>
    <w:rsid w:val="00A966A2"/>
    <w:rsid w:val="00A966DD"/>
    <w:rsid w:val="00AA720F"/>
    <w:rsid w:val="00AB1B21"/>
    <w:rsid w:val="00AB341A"/>
    <w:rsid w:val="00AB5C33"/>
    <w:rsid w:val="00AC65AE"/>
    <w:rsid w:val="00AC6A43"/>
    <w:rsid w:val="00AC77A0"/>
    <w:rsid w:val="00AC7CBA"/>
    <w:rsid w:val="00AD17DC"/>
    <w:rsid w:val="00AD4DD2"/>
    <w:rsid w:val="00AD574A"/>
    <w:rsid w:val="00AE704F"/>
    <w:rsid w:val="00AF15CC"/>
    <w:rsid w:val="00AF1CD1"/>
    <w:rsid w:val="00AF5E72"/>
    <w:rsid w:val="00B02008"/>
    <w:rsid w:val="00B03C69"/>
    <w:rsid w:val="00B12374"/>
    <w:rsid w:val="00B1351C"/>
    <w:rsid w:val="00B24D2B"/>
    <w:rsid w:val="00B26A22"/>
    <w:rsid w:val="00B30554"/>
    <w:rsid w:val="00B3186C"/>
    <w:rsid w:val="00B32C20"/>
    <w:rsid w:val="00B354DF"/>
    <w:rsid w:val="00B356FF"/>
    <w:rsid w:val="00B360B3"/>
    <w:rsid w:val="00B36353"/>
    <w:rsid w:val="00B36DF6"/>
    <w:rsid w:val="00B41501"/>
    <w:rsid w:val="00B41D85"/>
    <w:rsid w:val="00B426CD"/>
    <w:rsid w:val="00B43371"/>
    <w:rsid w:val="00B47828"/>
    <w:rsid w:val="00B47D9A"/>
    <w:rsid w:val="00B503F9"/>
    <w:rsid w:val="00B5119A"/>
    <w:rsid w:val="00B5254F"/>
    <w:rsid w:val="00B52D9B"/>
    <w:rsid w:val="00B60A26"/>
    <w:rsid w:val="00B657AB"/>
    <w:rsid w:val="00B6715E"/>
    <w:rsid w:val="00B72351"/>
    <w:rsid w:val="00B83D72"/>
    <w:rsid w:val="00B84D6C"/>
    <w:rsid w:val="00B855DB"/>
    <w:rsid w:val="00B86DDA"/>
    <w:rsid w:val="00B872A8"/>
    <w:rsid w:val="00B87D0A"/>
    <w:rsid w:val="00BA0FA9"/>
    <w:rsid w:val="00BA34DB"/>
    <w:rsid w:val="00BA592C"/>
    <w:rsid w:val="00BA771E"/>
    <w:rsid w:val="00BB3B12"/>
    <w:rsid w:val="00BB5CD0"/>
    <w:rsid w:val="00BB711F"/>
    <w:rsid w:val="00BC26DC"/>
    <w:rsid w:val="00BC2CFD"/>
    <w:rsid w:val="00BD04A9"/>
    <w:rsid w:val="00BD5629"/>
    <w:rsid w:val="00BE5CDE"/>
    <w:rsid w:val="00BF30FA"/>
    <w:rsid w:val="00BF4D8E"/>
    <w:rsid w:val="00BF5C64"/>
    <w:rsid w:val="00BF5E75"/>
    <w:rsid w:val="00C002AC"/>
    <w:rsid w:val="00C00E63"/>
    <w:rsid w:val="00C02272"/>
    <w:rsid w:val="00C11B0F"/>
    <w:rsid w:val="00C12A23"/>
    <w:rsid w:val="00C165C9"/>
    <w:rsid w:val="00C23B4F"/>
    <w:rsid w:val="00C23DA1"/>
    <w:rsid w:val="00C24122"/>
    <w:rsid w:val="00C3499D"/>
    <w:rsid w:val="00C34DFF"/>
    <w:rsid w:val="00C37376"/>
    <w:rsid w:val="00C44E11"/>
    <w:rsid w:val="00C47B69"/>
    <w:rsid w:val="00C533E3"/>
    <w:rsid w:val="00C535BF"/>
    <w:rsid w:val="00C56E3F"/>
    <w:rsid w:val="00C60514"/>
    <w:rsid w:val="00C636F4"/>
    <w:rsid w:val="00C66441"/>
    <w:rsid w:val="00C84D4B"/>
    <w:rsid w:val="00C85D30"/>
    <w:rsid w:val="00C87C28"/>
    <w:rsid w:val="00C913F5"/>
    <w:rsid w:val="00C91CF3"/>
    <w:rsid w:val="00CA0566"/>
    <w:rsid w:val="00CA5D47"/>
    <w:rsid w:val="00CA6832"/>
    <w:rsid w:val="00CA6F21"/>
    <w:rsid w:val="00CB043A"/>
    <w:rsid w:val="00CC76D0"/>
    <w:rsid w:val="00CD0E0A"/>
    <w:rsid w:val="00CD3E98"/>
    <w:rsid w:val="00CD4A8E"/>
    <w:rsid w:val="00CD4C17"/>
    <w:rsid w:val="00CD7240"/>
    <w:rsid w:val="00CE1E19"/>
    <w:rsid w:val="00CE7A06"/>
    <w:rsid w:val="00CF00AA"/>
    <w:rsid w:val="00D01FAB"/>
    <w:rsid w:val="00D027D1"/>
    <w:rsid w:val="00D04F63"/>
    <w:rsid w:val="00D1270B"/>
    <w:rsid w:val="00D146EF"/>
    <w:rsid w:val="00D17E38"/>
    <w:rsid w:val="00D236E7"/>
    <w:rsid w:val="00D243CF"/>
    <w:rsid w:val="00D24B69"/>
    <w:rsid w:val="00D2562F"/>
    <w:rsid w:val="00D3470D"/>
    <w:rsid w:val="00D349B2"/>
    <w:rsid w:val="00D36A9C"/>
    <w:rsid w:val="00D37D6C"/>
    <w:rsid w:val="00D41EA0"/>
    <w:rsid w:val="00D4471E"/>
    <w:rsid w:val="00D4474C"/>
    <w:rsid w:val="00D45511"/>
    <w:rsid w:val="00D45736"/>
    <w:rsid w:val="00D50700"/>
    <w:rsid w:val="00D50F0A"/>
    <w:rsid w:val="00D536C4"/>
    <w:rsid w:val="00D57CC3"/>
    <w:rsid w:val="00D62D7D"/>
    <w:rsid w:val="00D64773"/>
    <w:rsid w:val="00D66961"/>
    <w:rsid w:val="00D75DB7"/>
    <w:rsid w:val="00D7714C"/>
    <w:rsid w:val="00D8571C"/>
    <w:rsid w:val="00D90E23"/>
    <w:rsid w:val="00D96711"/>
    <w:rsid w:val="00DA0016"/>
    <w:rsid w:val="00DA25B9"/>
    <w:rsid w:val="00DA3D08"/>
    <w:rsid w:val="00DA5611"/>
    <w:rsid w:val="00DA582B"/>
    <w:rsid w:val="00DA657A"/>
    <w:rsid w:val="00DB0E9F"/>
    <w:rsid w:val="00DB2B73"/>
    <w:rsid w:val="00DB5192"/>
    <w:rsid w:val="00DB53D4"/>
    <w:rsid w:val="00DB7AED"/>
    <w:rsid w:val="00DC2FA0"/>
    <w:rsid w:val="00DC30C2"/>
    <w:rsid w:val="00DD0789"/>
    <w:rsid w:val="00DD13AC"/>
    <w:rsid w:val="00DD2CF4"/>
    <w:rsid w:val="00DD351E"/>
    <w:rsid w:val="00DD48E0"/>
    <w:rsid w:val="00DE26B7"/>
    <w:rsid w:val="00DE40E0"/>
    <w:rsid w:val="00DE4BA5"/>
    <w:rsid w:val="00DF2A49"/>
    <w:rsid w:val="00DF3A13"/>
    <w:rsid w:val="00DF58A9"/>
    <w:rsid w:val="00E02356"/>
    <w:rsid w:val="00E0371A"/>
    <w:rsid w:val="00E04CBC"/>
    <w:rsid w:val="00E24F6E"/>
    <w:rsid w:val="00E36340"/>
    <w:rsid w:val="00E37EDD"/>
    <w:rsid w:val="00E538FA"/>
    <w:rsid w:val="00E54480"/>
    <w:rsid w:val="00E57561"/>
    <w:rsid w:val="00E57C03"/>
    <w:rsid w:val="00E57C8D"/>
    <w:rsid w:val="00E607EE"/>
    <w:rsid w:val="00E76B7E"/>
    <w:rsid w:val="00E80158"/>
    <w:rsid w:val="00E80FB0"/>
    <w:rsid w:val="00E817FB"/>
    <w:rsid w:val="00E85615"/>
    <w:rsid w:val="00E86698"/>
    <w:rsid w:val="00E90535"/>
    <w:rsid w:val="00E91DEC"/>
    <w:rsid w:val="00E932C2"/>
    <w:rsid w:val="00E95810"/>
    <w:rsid w:val="00EA0210"/>
    <w:rsid w:val="00EA0EF3"/>
    <w:rsid w:val="00EA59C4"/>
    <w:rsid w:val="00EB0BCC"/>
    <w:rsid w:val="00EB280B"/>
    <w:rsid w:val="00EB6659"/>
    <w:rsid w:val="00EC35F0"/>
    <w:rsid w:val="00EC4C43"/>
    <w:rsid w:val="00ED6E1A"/>
    <w:rsid w:val="00ED7626"/>
    <w:rsid w:val="00EE2D3D"/>
    <w:rsid w:val="00EE4D72"/>
    <w:rsid w:val="00EF3FBF"/>
    <w:rsid w:val="00EF4936"/>
    <w:rsid w:val="00EF6277"/>
    <w:rsid w:val="00EF6660"/>
    <w:rsid w:val="00EF706B"/>
    <w:rsid w:val="00EF79E3"/>
    <w:rsid w:val="00F070C4"/>
    <w:rsid w:val="00F075A7"/>
    <w:rsid w:val="00F07792"/>
    <w:rsid w:val="00F10358"/>
    <w:rsid w:val="00F11D88"/>
    <w:rsid w:val="00F12C2A"/>
    <w:rsid w:val="00F14080"/>
    <w:rsid w:val="00F2424F"/>
    <w:rsid w:val="00F27C33"/>
    <w:rsid w:val="00F31FC0"/>
    <w:rsid w:val="00F32D92"/>
    <w:rsid w:val="00F331E7"/>
    <w:rsid w:val="00F35035"/>
    <w:rsid w:val="00F40BB4"/>
    <w:rsid w:val="00F41240"/>
    <w:rsid w:val="00F53C79"/>
    <w:rsid w:val="00F54CBF"/>
    <w:rsid w:val="00F54F96"/>
    <w:rsid w:val="00F56B54"/>
    <w:rsid w:val="00F608D4"/>
    <w:rsid w:val="00F61AF1"/>
    <w:rsid w:val="00F65B0B"/>
    <w:rsid w:val="00F66C96"/>
    <w:rsid w:val="00F679BB"/>
    <w:rsid w:val="00F71F80"/>
    <w:rsid w:val="00F75719"/>
    <w:rsid w:val="00F760B8"/>
    <w:rsid w:val="00F801AA"/>
    <w:rsid w:val="00F82046"/>
    <w:rsid w:val="00F86CEC"/>
    <w:rsid w:val="00F95634"/>
    <w:rsid w:val="00F97636"/>
    <w:rsid w:val="00FA6E4A"/>
    <w:rsid w:val="00FB5B05"/>
    <w:rsid w:val="00FC0A5E"/>
    <w:rsid w:val="00FC0E04"/>
    <w:rsid w:val="00FC4690"/>
    <w:rsid w:val="00FD2D79"/>
    <w:rsid w:val="00FD7B63"/>
    <w:rsid w:val="00FE0A5E"/>
    <w:rsid w:val="00FE3D5F"/>
    <w:rsid w:val="00FE5C05"/>
    <w:rsid w:val="00FE6C44"/>
    <w:rsid w:val="00FE78D6"/>
    <w:rsid w:val="00FF218B"/>
    <w:rsid w:val="00FF24DE"/>
    <w:rsid w:val="00FF7696"/>
    <w:rsid w:val="49383D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A661B"/>
  <w15:chartTrackingRefBased/>
  <w15:docId w15:val="{E62BB3DB-F077-43ED-A4D3-43C73F9F5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8C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938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938C0"/>
    <w:pPr>
      <w:pBdr>
        <w:top w:val="none" w:sz="0" w:space="0" w:color="auto"/>
      </w:pBdr>
      <w:spacing w:before="180"/>
      <w:outlineLvl w:val="1"/>
    </w:pPr>
    <w:rPr>
      <w:sz w:val="32"/>
    </w:rPr>
  </w:style>
  <w:style w:type="paragraph" w:styleId="Heading3">
    <w:name w:val="heading 3"/>
    <w:basedOn w:val="Heading2"/>
    <w:next w:val="Normal"/>
    <w:qFormat/>
    <w:rsid w:val="003938C0"/>
    <w:pPr>
      <w:spacing w:before="120"/>
      <w:outlineLvl w:val="2"/>
    </w:pPr>
    <w:rPr>
      <w:sz w:val="28"/>
    </w:rPr>
  </w:style>
  <w:style w:type="paragraph" w:styleId="Heading4">
    <w:name w:val="heading 4"/>
    <w:basedOn w:val="Heading3"/>
    <w:next w:val="Normal"/>
    <w:qFormat/>
    <w:rsid w:val="003938C0"/>
    <w:pPr>
      <w:ind w:left="1418" w:hanging="1418"/>
      <w:outlineLvl w:val="3"/>
    </w:pPr>
    <w:rPr>
      <w:sz w:val="24"/>
    </w:rPr>
  </w:style>
  <w:style w:type="paragraph" w:styleId="Heading5">
    <w:name w:val="heading 5"/>
    <w:basedOn w:val="Heading4"/>
    <w:next w:val="Normal"/>
    <w:qFormat/>
    <w:rsid w:val="003938C0"/>
    <w:pPr>
      <w:ind w:left="1701" w:hanging="1701"/>
      <w:outlineLvl w:val="4"/>
    </w:pPr>
    <w:rPr>
      <w:sz w:val="22"/>
    </w:rPr>
  </w:style>
  <w:style w:type="paragraph" w:styleId="Heading6">
    <w:name w:val="heading 6"/>
    <w:basedOn w:val="H6"/>
    <w:next w:val="Normal"/>
    <w:qFormat/>
    <w:rsid w:val="003938C0"/>
    <w:pPr>
      <w:outlineLvl w:val="5"/>
    </w:pPr>
  </w:style>
  <w:style w:type="paragraph" w:styleId="Heading7">
    <w:name w:val="heading 7"/>
    <w:basedOn w:val="H6"/>
    <w:next w:val="Normal"/>
    <w:qFormat/>
    <w:rsid w:val="003938C0"/>
    <w:pPr>
      <w:outlineLvl w:val="6"/>
    </w:pPr>
  </w:style>
  <w:style w:type="paragraph" w:styleId="Heading8">
    <w:name w:val="heading 8"/>
    <w:basedOn w:val="Heading1"/>
    <w:next w:val="Normal"/>
    <w:qFormat/>
    <w:rsid w:val="003938C0"/>
    <w:pPr>
      <w:ind w:left="0" w:firstLine="0"/>
      <w:outlineLvl w:val="7"/>
    </w:pPr>
  </w:style>
  <w:style w:type="paragraph" w:styleId="Heading9">
    <w:name w:val="heading 9"/>
    <w:basedOn w:val="Heading8"/>
    <w:next w:val="Normal"/>
    <w:qFormat/>
    <w:rsid w:val="003938C0"/>
    <w:pPr>
      <w:outlineLvl w:val="8"/>
    </w:pPr>
  </w:style>
  <w:style w:type="character" w:default="1" w:styleId="DefaultParagraphFont">
    <w:name w:val="Default Paragraph Font"/>
    <w:semiHidden/>
    <w:rsid w:val="003938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38C0"/>
  </w:style>
  <w:style w:type="paragraph" w:styleId="TOC8">
    <w:name w:val="toc 8"/>
    <w:basedOn w:val="TOC1"/>
    <w:semiHidden/>
    <w:rsid w:val="003938C0"/>
    <w:pPr>
      <w:spacing w:before="180"/>
      <w:ind w:left="2693" w:hanging="2693"/>
    </w:pPr>
    <w:rPr>
      <w:b/>
    </w:rPr>
  </w:style>
  <w:style w:type="paragraph" w:styleId="TOC1">
    <w:name w:val="toc 1"/>
    <w:semiHidden/>
    <w:rsid w:val="003938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938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938C0"/>
    <w:pPr>
      <w:ind w:left="1701" w:hanging="1701"/>
    </w:pPr>
  </w:style>
  <w:style w:type="paragraph" w:styleId="TOC4">
    <w:name w:val="toc 4"/>
    <w:basedOn w:val="TOC3"/>
    <w:semiHidden/>
    <w:rsid w:val="003938C0"/>
    <w:pPr>
      <w:ind w:left="1418" w:hanging="1418"/>
    </w:pPr>
  </w:style>
  <w:style w:type="paragraph" w:styleId="TOC3">
    <w:name w:val="toc 3"/>
    <w:basedOn w:val="TOC2"/>
    <w:semiHidden/>
    <w:rsid w:val="003938C0"/>
    <w:pPr>
      <w:ind w:left="1134" w:hanging="1134"/>
    </w:pPr>
  </w:style>
  <w:style w:type="paragraph" w:styleId="TOC2">
    <w:name w:val="toc 2"/>
    <w:basedOn w:val="TOC1"/>
    <w:semiHidden/>
    <w:rsid w:val="003938C0"/>
    <w:pPr>
      <w:keepNext w:val="0"/>
      <w:spacing w:before="0"/>
      <w:ind w:left="851" w:hanging="851"/>
    </w:pPr>
    <w:rPr>
      <w:sz w:val="20"/>
    </w:rPr>
  </w:style>
  <w:style w:type="paragraph" w:styleId="Index2">
    <w:name w:val="index 2"/>
    <w:basedOn w:val="Index1"/>
    <w:semiHidden/>
    <w:rsid w:val="003938C0"/>
    <w:pPr>
      <w:ind w:left="284"/>
    </w:pPr>
  </w:style>
  <w:style w:type="paragraph" w:styleId="Index1">
    <w:name w:val="index 1"/>
    <w:basedOn w:val="Normal"/>
    <w:semiHidden/>
    <w:rsid w:val="003938C0"/>
    <w:pPr>
      <w:keepLines/>
      <w:spacing w:after="0"/>
    </w:pPr>
  </w:style>
  <w:style w:type="paragraph" w:customStyle="1" w:styleId="ZH">
    <w:name w:val="ZH"/>
    <w:rsid w:val="003938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938C0"/>
    <w:pPr>
      <w:outlineLvl w:val="9"/>
    </w:pPr>
  </w:style>
  <w:style w:type="paragraph" w:styleId="ListNumber2">
    <w:name w:val="List Number 2"/>
    <w:basedOn w:val="ListNumber"/>
    <w:semiHidden/>
    <w:rsid w:val="003938C0"/>
    <w:pPr>
      <w:ind w:left="851"/>
    </w:pPr>
  </w:style>
  <w:style w:type="paragraph" w:styleId="Header">
    <w:name w:val="header"/>
    <w:semiHidden/>
    <w:rsid w:val="003938C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938C0"/>
    <w:rPr>
      <w:b/>
      <w:position w:val="6"/>
      <w:sz w:val="16"/>
    </w:rPr>
  </w:style>
  <w:style w:type="paragraph" w:styleId="FootnoteText">
    <w:name w:val="footnote text"/>
    <w:basedOn w:val="Normal"/>
    <w:semiHidden/>
    <w:rsid w:val="003938C0"/>
    <w:pPr>
      <w:keepLines/>
      <w:spacing w:after="0"/>
      <w:ind w:left="454" w:hanging="454"/>
    </w:pPr>
    <w:rPr>
      <w:sz w:val="16"/>
    </w:rPr>
  </w:style>
  <w:style w:type="paragraph" w:customStyle="1" w:styleId="TAH">
    <w:name w:val="TAH"/>
    <w:basedOn w:val="TAC"/>
    <w:link w:val="TAHCar"/>
    <w:rsid w:val="003938C0"/>
    <w:rPr>
      <w:b/>
    </w:rPr>
  </w:style>
  <w:style w:type="paragraph" w:customStyle="1" w:styleId="TAC">
    <w:name w:val="TAC"/>
    <w:basedOn w:val="TAL"/>
    <w:link w:val="TACChar"/>
    <w:rsid w:val="003938C0"/>
    <w:pPr>
      <w:jc w:val="center"/>
    </w:pPr>
  </w:style>
  <w:style w:type="paragraph" w:customStyle="1" w:styleId="TF">
    <w:name w:val="TF"/>
    <w:basedOn w:val="TH"/>
    <w:rsid w:val="003938C0"/>
    <w:pPr>
      <w:keepNext w:val="0"/>
      <w:spacing w:before="0" w:after="240"/>
    </w:pPr>
  </w:style>
  <w:style w:type="paragraph" w:customStyle="1" w:styleId="NO">
    <w:name w:val="NO"/>
    <w:basedOn w:val="Normal"/>
    <w:rsid w:val="003938C0"/>
    <w:pPr>
      <w:keepLines/>
      <w:ind w:left="1135" w:hanging="851"/>
    </w:pPr>
  </w:style>
  <w:style w:type="paragraph" w:styleId="TOC9">
    <w:name w:val="toc 9"/>
    <w:basedOn w:val="TOC8"/>
    <w:semiHidden/>
    <w:rsid w:val="003938C0"/>
    <w:pPr>
      <w:ind w:left="1418" w:hanging="1418"/>
    </w:pPr>
  </w:style>
  <w:style w:type="paragraph" w:customStyle="1" w:styleId="EX">
    <w:name w:val="EX"/>
    <w:basedOn w:val="Normal"/>
    <w:rsid w:val="003938C0"/>
    <w:pPr>
      <w:keepLines/>
      <w:ind w:left="1702" w:hanging="1418"/>
    </w:pPr>
  </w:style>
  <w:style w:type="paragraph" w:customStyle="1" w:styleId="FP">
    <w:name w:val="FP"/>
    <w:basedOn w:val="Normal"/>
    <w:rsid w:val="003938C0"/>
    <w:pPr>
      <w:spacing w:after="0"/>
    </w:pPr>
  </w:style>
  <w:style w:type="paragraph" w:customStyle="1" w:styleId="LD">
    <w:name w:val="LD"/>
    <w:rsid w:val="003938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938C0"/>
    <w:pPr>
      <w:spacing w:after="0"/>
    </w:pPr>
  </w:style>
  <w:style w:type="paragraph" w:customStyle="1" w:styleId="EW">
    <w:name w:val="EW"/>
    <w:basedOn w:val="EX"/>
    <w:rsid w:val="003938C0"/>
    <w:pPr>
      <w:spacing w:after="0"/>
    </w:pPr>
  </w:style>
  <w:style w:type="paragraph" w:styleId="TOC6">
    <w:name w:val="toc 6"/>
    <w:basedOn w:val="TOC5"/>
    <w:next w:val="Normal"/>
    <w:semiHidden/>
    <w:rsid w:val="003938C0"/>
    <w:pPr>
      <w:ind w:left="1985" w:hanging="1985"/>
    </w:pPr>
  </w:style>
  <w:style w:type="paragraph" w:styleId="TOC7">
    <w:name w:val="toc 7"/>
    <w:basedOn w:val="TOC6"/>
    <w:next w:val="Normal"/>
    <w:semiHidden/>
    <w:rsid w:val="003938C0"/>
    <w:pPr>
      <w:ind w:left="2268" w:hanging="2268"/>
    </w:pPr>
  </w:style>
  <w:style w:type="paragraph" w:styleId="ListBullet2">
    <w:name w:val="List Bullet 2"/>
    <w:basedOn w:val="ListBullet"/>
    <w:semiHidden/>
    <w:rsid w:val="003938C0"/>
    <w:pPr>
      <w:ind w:left="851"/>
    </w:pPr>
  </w:style>
  <w:style w:type="paragraph" w:styleId="ListBullet3">
    <w:name w:val="List Bullet 3"/>
    <w:basedOn w:val="ListBullet2"/>
    <w:semiHidden/>
    <w:rsid w:val="003938C0"/>
    <w:pPr>
      <w:ind w:left="1135"/>
    </w:pPr>
  </w:style>
  <w:style w:type="paragraph" w:styleId="ListNumber">
    <w:name w:val="List Number"/>
    <w:basedOn w:val="List"/>
    <w:semiHidden/>
    <w:rsid w:val="003938C0"/>
  </w:style>
  <w:style w:type="paragraph" w:customStyle="1" w:styleId="EQ">
    <w:name w:val="EQ"/>
    <w:basedOn w:val="Normal"/>
    <w:next w:val="Normal"/>
    <w:rsid w:val="003938C0"/>
    <w:pPr>
      <w:keepLines/>
      <w:tabs>
        <w:tab w:val="center" w:pos="4536"/>
        <w:tab w:val="right" w:pos="9072"/>
      </w:tabs>
    </w:pPr>
    <w:rPr>
      <w:noProof/>
    </w:rPr>
  </w:style>
  <w:style w:type="paragraph" w:customStyle="1" w:styleId="TH">
    <w:name w:val="TH"/>
    <w:basedOn w:val="Normal"/>
    <w:rsid w:val="003938C0"/>
    <w:pPr>
      <w:keepNext/>
      <w:keepLines/>
      <w:spacing w:before="60"/>
      <w:jc w:val="center"/>
    </w:pPr>
    <w:rPr>
      <w:rFonts w:ascii="Arial" w:hAnsi="Arial"/>
      <w:b/>
    </w:rPr>
  </w:style>
  <w:style w:type="paragraph" w:customStyle="1" w:styleId="NF">
    <w:name w:val="NF"/>
    <w:basedOn w:val="NO"/>
    <w:rsid w:val="003938C0"/>
    <w:pPr>
      <w:keepNext/>
      <w:spacing w:after="0"/>
    </w:pPr>
    <w:rPr>
      <w:rFonts w:ascii="Arial" w:hAnsi="Arial"/>
      <w:sz w:val="18"/>
    </w:rPr>
  </w:style>
  <w:style w:type="paragraph" w:customStyle="1" w:styleId="PL">
    <w:name w:val="PL"/>
    <w:rsid w:val="00393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938C0"/>
    <w:pPr>
      <w:jc w:val="right"/>
    </w:pPr>
  </w:style>
  <w:style w:type="paragraph" w:customStyle="1" w:styleId="H6">
    <w:name w:val="H6"/>
    <w:basedOn w:val="Heading5"/>
    <w:next w:val="Normal"/>
    <w:rsid w:val="003938C0"/>
    <w:pPr>
      <w:ind w:left="1985" w:hanging="1985"/>
      <w:outlineLvl w:val="9"/>
    </w:pPr>
    <w:rPr>
      <w:sz w:val="20"/>
    </w:rPr>
  </w:style>
  <w:style w:type="paragraph" w:customStyle="1" w:styleId="TAN">
    <w:name w:val="TAN"/>
    <w:basedOn w:val="TAL"/>
    <w:link w:val="TANChar"/>
    <w:rsid w:val="003938C0"/>
    <w:pPr>
      <w:ind w:left="851" w:hanging="851"/>
    </w:pPr>
  </w:style>
  <w:style w:type="paragraph" w:customStyle="1" w:styleId="TAL">
    <w:name w:val="TAL"/>
    <w:basedOn w:val="Normal"/>
    <w:rsid w:val="003938C0"/>
    <w:pPr>
      <w:keepNext/>
      <w:keepLines/>
      <w:spacing w:after="0"/>
    </w:pPr>
    <w:rPr>
      <w:rFonts w:ascii="Arial" w:hAnsi="Arial"/>
      <w:sz w:val="18"/>
    </w:rPr>
  </w:style>
  <w:style w:type="paragraph" w:customStyle="1" w:styleId="ZA">
    <w:name w:val="ZA"/>
    <w:rsid w:val="003938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938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938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938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938C0"/>
    <w:pPr>
      <w:framePr w:wrap="notBeside" w:y="16161"/>
    </w:pPr>
  </w:style>
  <w:style w:type="character" w:customStyle="1" w:styleId="ZGSM">
    <w:name w:val="ZGSM"/>
    <w:rsid w:val="003938C0"/>
  </w:style>
  <w:style w:type="paragraph" w:styleId="List2">
    <w:name w:val="List 2"/>
    <w:basedOn w:val="List"/>
    <w:semiHidden/>
    <w:rsid w:val="003938C0"/>
    <w:pPr>
      <w:ind w:left="851"/>
    </w:pPr>
  </w:style>
  <w:style w:type="paragraph" w:customStyle="1" w:styleId="ZG">
    <w:name w:val="ZG"/>
    <w:rsid w:val="003938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938C0"/>
    <w:pPr>
      <w:ind w:left="1135"/>
    </w:pPr>
  </w:style>
  <w:style w:type="paragraph" w:styleId="List4">
    <w:name w:val="List 4"/>
    <w:basedOn w:val="List3"/>
    <w:semiHidden/>
    <w:rsid w:val="003938C0"/>
    <w:pPr>
      <w:ind w:left="1418"/>
    </w:pPr>
  </w:style>
  <w:style w:type="paragraph" w:styleId="List5">
    <w:name w:val="List 5"/>
    <w:basedOn w:val="List4"/>
    <w:semiHidden/>
    <w:rsid w:val="003938C0"/>
    <w:pPr>
      <w:ind w:left="1702"/>
    </w:pPr>
  </w:style>
  <w:style w:type="paragraph" w:customStyle="1" w:styleId="EditorsNote">
    <w:name w:val="Editor's Note"/>
    <w:basedOn w:val="NO"/>
    <w:rsid w:val="003938C0"/>
    <w:rPr>
      <w:color w:val="FF0000"/>
    </w:rPr>
  </w:style>
  <w:style w:type="paragraph" w:styleId="List">
    <w:name w:val="List"/>
    <w:basedOn w:val="Normal"/>
    <w:semiHidden/>
    <w:rsid w:val="003938C0"/>
    <w:pPr>
      <w:ind w:left="568" w:hanging="284"/>
    </w:pPr>
  </w:style>
  <w:style w:type="paragraph" w:styleId="ListBullet">
    <w:name w:val="List Bullet"/>
    <w:basedOn w:val="List"/>
    <w:semiHidden/>
    <w:rsid w:val="003938C0"/>
  </w:style>
  <w:style w:type="paragraph" w:styleId="ListBullet4">
    <w:name w:val="List Bullet 4"/>
    <w:basedOn w:val="ListBullet3"/>
    <w:semiHidden/>
    <w:rsid w:val="003938C0"/>
    <w:pPr>
      <w:ind w:left="1418"/>
    </w:pPr>
  </w:style>
  <w:style w:type="paragraph" w:styleId="ListBullet5">
    <w:name w:val="List Bullet 5"/>
    <w:basedOn w:val="ListBullet4"/>
    <w:semiHidden/>
    <w:rsid w:val="003938C0"/>
    <w:pPr>
      <w:ind w:left="1702"/>
    </w:pPr>
  </w:style>
  <w:style w:type="paragraph" w:customStyle="1" w:styleId="B1">
    <w:name w:val="B1"/>
    <w:basedOn w:val="List"/>
    <w:rsid w:val="003938C0"/>
  </w:style>
  <w:style w:type="paragraph" w:customStyle="1" w:styleId="B2">
    <w:name w:val="B2"/>
    <w:basedOn w:val="List2"/>
    <w:rsid w:val="003938C0"/>
  </w:style>
  <w:style w:type="paragraph" w:customStyle="1" w:styleId="B3">
    <w:name w:val="B3"/>
    <w:basedOn w:val="List3"/>
    <w:rsid w:val="003938C0"/>
  </w:style>
  <w:style w:type="paragraph" w:customStyle="1" w:styleId="B4">
    <w:name w:val="B4"/>
    <w:basedOn w:val="List4"/>
    <w:rsid w:val="003938C0"/>
  </w:style>
  <w:style w:type="paragraph" w:customStyle="1" w:styleId="B5">
    <w:name w:val="B5"/>
    <w:basedOn w:val="List5"/>
    <w:rsid w:val="003938C0"/>
  </w:style>
  <w:style w:type="paragraph" w:styleId="Footer">
    <w:name w:val="footer"/>
    <w:basedOn w:val="Header"/>
    <w:semiHidden/>
    <w:rsid w:val="003938C0"/>
    <w:pPr>
      <w:jc w:val="center"/>
    </w:pPr>
    <w:rPr>
      <w:i/>
    </w:rPr>
  </w:style>
  <w:style w:type="paragraph" w:customStyle="1" w:styleId="ZTD">
    <w:name w:val="ZTD"/>
    <w:basedOn w:val="ZB"/>
    <w:rsid w:val="003938C0"/>
    <w:pPr>
      <w:framePr w:hRule="auto" w:wrap="notBeside" w:y="852"/>
    </w:pPr>
    <w:rPr>
      <w:i w:val="0"/>
      <w:sz w:val="40"/>
    </w:rPr>
  </w:style>
  <w:style w:type="paragraph" w:styleId="NoSpacing">
    <w:name w:val="No Spacing"/>
    <w:uiPriority w:val="1"/>
    <w:qFormat/>
    <w:rsid w:val="000611C6"/>
    <w:rPr>
      <w:rFonts w:ascii="Times New Roman" w:hAnsi="Times New Roman"/>
      <w:lang w:val="en-US" w:eastAsia="en-US"/>
    </w:rPr>
  </w:style>
  <w:style w:type="paragraph" w:styleId="BodyText">
    <w:name w:val="Body Text"/>
    <w:aliases w:val="bt"/>
    <w:basedOn w:val="Normal"/>
    <w:link w:val="BodyTextChar"/>
    <w:rsid w:val="000611C6"/>
    <w:pPr>
      <w:spacing w:after="120"/>
      <w:jc w:val="both"/>
    </w:pPr>
    <w:rPr>
      <w:rFonts w:ascii="Times" w:eastAsia="SimSun" w:hAnsi="Times"/>
      <w:szCs w:val="24"/>
      <w:lang w:val="en-US" w:eastAsia="en-US"/>
    </w:rPr>
  </w:style>
  <w:style w:type="character" w:customStyle="1" w:styleId="BodyTextChar">
    <w:name w:val="Body Text Char"/>
    <w:aliases w:val="bt Char"/>
    <w:basedOn w:val="DefaultParagraphFont"/>
    <w:link w:val="BodyText"/>
    <w:rsid w:val="000611C6"/>
    <w:rPr>
      <w:rFonts w:ascii="Times" w:eastAsia="SimSun" w:hAnsi="Times"/>
      <w:szCs w:val="24"/>
      <w:lang w:val="en-US" w:eastAsia="en-US"/>
    </w:rPr>
  </w:style>
  <w:style w:type="paragraph" w:styleId="ListParagraph">
    <w:name w:val="List Paragraph"/>
    <w:basedOn w:val="Normal"/>
    <w:uiPriority w:val="34"/>
    <w:qFormat/>
    <w:rsid w:val="00F61AF1"/>
    <w:pPr>
      <w:ind w:left="720"/>
      <w:contextualSpacing/>
    </w:pPr>
  </w:style>
  <w:style w:type="paragraph" w:styleId="Caption">
    <w:name w:val="caption"/>
    <w:basedOn w:val="Normal"/>
    <w:next w:val="Normal"/>
    <w:uiPriority w:val="35"/>
    <w:unhideWhenUsed/>
    <w:qFormat/>
    <w:rsid w:val="0055097D"/>
    <w:rPr>
      <w:b/>
      <w:bCs/>
    </w:rPr>
  </w:style>
  <w:style w:type="table" w:styleId="TableGrid">
    <w:name w:val="Table Grid"/>
    <w:basedOn w:val="TableNormal"/>
    <w:uiPriority w:val="39"/>
    <w:rsid w:val="00EA0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45D0B"/>
    <w:rPr>
      <w:rFonts w:ascii="Times New Roman" w:hAnsi="Times New Roman"/>
    </w:rPr>
  </w:style>
  <w:style w:type="character" w:customStyle="1" w:styleId="TACChar">
    <w:name w:val="TAC Char"/>
    <w:link w:val="TAC"/>
    <w:qFormat/>
    <w:rsid w:val="00253847"/>
    <w:rPr>
      <w:rFonts w:ascii="Arial" w:hAnsi="Arial"/>
      <w:sz w:val="18"/>
    </w:rPr>
  </w:style>
  <w:style w:type="character" w:customStyle="1" w:styleId="TAHCar">
    <w:name w:val="TAH Car"/>
    <w:link w:val="TAH"/>
    <w:qFormat/>
    <w:rsid w:val="00253847"/>
    <w:rPr>
      <w:rFonts w:ascii="Arial" w:hAnsi="Arial"/>
      <w:b/>
      <w:sz w:val="18"/>
    </w:rPr>
  </w:style>
  <w:style w:type="character" w:customStyle="1" w:styleId="TANChar">
    <w:name w:val="TAN Char"/>
    <w:link w:val="TAN"/>
    <w:qFormat/>
    <w:rsid w:val="00253847"/>
    <w:rPr>
      <w:rFonts w:ascii="Arial" w:hAnsi="Arial"/>
      <w:sz w:val="18"/>
    </w:rPr>
  </w:style>
  <w:style w:type="paragraph" w:customStyle="1" w:styleId="TableParagraph">
    <w:name w:val="Table Paragraph"/>
    <w:basedOn w:val="Normal"/>
    <w:uiPriority w:val="1"/>
    <w:qFormat/>
    <w:rsid w:val="00AC77A0"/>
    <w:pPr>
      <w:widowControl w:val="0"/>
      <w:overflowPunct/>
      <w:adjustRightInd/>
      <w:spacing w:after="0"/>
      <w:ind w:left="18"/>
      <w:jc w:val="center"/>
      <w:textAlignment w:val="auto"/>
    </w:pPr>
    <w:rPr>
      <w:rFonts w:ascii="Arial" w:eastAsia="Arial" w:hAnsi="Arial" w:cs="Arial"/>
      <w:sz w:val="22"/>
      <w:szCs w:val="22"/>
      <w:lang w:val="en-US" w:eastAsia="en-US"/>
    </w:rPr>
  </w:style>
  <w:style w:type="character" w:styleId="Hyperlink">
    <w:name w:val="Hyperlink"/>
    <w:basedOn w:val="DefaultParagraphFont"/>
    <w:uiPriority w:val="99"/>
    <w:unhideWhenUsed/>
    <w:rsid w:val="00F31FC0"/>
    <w:rPr>
      <w:color w:val="467886" w:themeColor="hyperlink"/>
      <w:u w:val="single"/>
    </w:rPr>
  </w:style>
  <w:style w:type="character" w:styleId="UnresolvedMention">
    <w:name w:val="Unresolved Mention"/>
    <w:basedOn w:val="DefaultParagraphFont"/>
    <w:uiPriority w:val="99"/>
    <w:semiHidden/>
    <w:unhideWhenUsed/>
    <w:rsid w:val="00F31FC0"/>
    <w:rPr>
      <w:color w:val="605E5C"/>
      <w:shd w:val="clear" w:color="auto" w:fill="E1DFDD"/>
    </w:rPr>
  </w:style>
  <w:style w:type="paragraph" w:customStyle="1" w:styleId="Table">
    <w:name w:val="Table_#"/>
    <w:basedOn w:val="Normal"/>
    <w:next w:val="Normal"/>
    <w:rsid w:val="00302C3F"/>
    <w:pPr>
      <w:keepNext/>
      <w:spacing w:before="567" w:after="113"/>
      <w:jc w:val="center"/>
    </w:pPr>
    <w:rPr>
      <w:sz w:val="18"/>
      <w:lang w:eastAsia="en-US"/>
    </w:rPr>
  </w:style>
  <w:style w:type="paragraph" w:customStyle="1" w:styleId="TableText">
    <w:name w:val="Table_Text"/>
    <w:basedOn w:val="Normal"/>
    <w:rsid w:val="00302C3F"/>
    <w:pPr>
      <w:keepNext/>
      <w:tabs>
        <w:tab w:val="left" w:pos="794"/>
        <w:tab w:val="left" w:pos="1191"/>
        <w:tab w:val="left" w:pos="1588"/>
        <w:tab w:val="left" w:pos="1985"/>
      </w:tabs>
      <w:spacing w:before="100" w:after="100" w:line="190" w:lineRule="exact"/>
      <w:jc w:val="both"/>
    </w:pPr>
    <w:rPr>
      <w:sz w:val="18"/>
      <w:lang w:eastAsia="en-US"/>
    </w:rPr>
  </w:style>
  <w:style w:type="paragraph" w:customStyle="1" w:styleId="TableLegend">
    <w:name w:val="Table_Legend"/>
    <w:basedOn w:val="Normal"/>
    <w:next w:val="Normal"/>
    <w:rsid w:val="00A045F6"/>
    <w:pPr>
      <w:keepNext/>
      <w:tabs>
        <w:tab w:val="left" w:pos="794"/>
        <w:tab w:val="left" w:pos="1191"/>
        <w:tab w:val="left" w:pos="1588"/>
        <w:tab w:val="left" w:pos="1985"/>
      </w:tabs>
      <w:spacing w:before="86" w:after="0" w:line="199" w:lineRule="exact"/>
      <w:ind w:left="-85" w:right="-85"/>
      <w:jc w:val="both"/>
    </w:pPr>
    <w:rPr>
      <w:sz w:val="18"/>
      <w:lang w:eastAsia="en-US"/>
    </w:rPr>
  </w:style>
  <w:style w:type="paragraph" w:customStyle="1" w:styleId="Note">
    <w:name w:val="Note"/>
    <w:basedOn w:val="Normal"/>
    <w:next w:val="Normal"/>
    <w:rsid w:val="00A045F6"/>
    <w:pPr>
      <w:spacing w:before="80" w:after="0"/>
      <w:jc w:val="both"/>
    </w:pPr>
    <w:rPr>
      <w:lang w:eastAsia="en-US"/>
    </w:rPr>
  </w:style>
  <w:style w:type="paragraph" w:styleId="TableofFigures">
    <w:name w:val="table of figures"/>
    <w:basedOn w:val="Normal"/>
    <w:next w:val="Normal"/>
    <w:uiPriority w:val="99"/>
    <w:unhideWhenUsed/>
    <w:rsid w:val="006B7C37"/>
    <w:pPr>
      <w:spacing w:after="0"/>
    </w:pPr>
  </w:style>
  <w:style w:type="paragraph" w:customStyle="1" w:styleId="TableTitle">
    <w:name w:val="Table_Title"/>
    <w:basedOn w:val="Table"/>
    <w:next w:val="Normal"/>
    <w:rsid w:val="00952AE1"/>
    <w:pPr>
      <w:spacing w:before="0"/>
    </w:pPr>
    <w:rPr>
      <w:b/>
    </w:rPr>
  </w:style>
  <w:style w:type="character" w:styleId="PlaceholderText">
    <w:name w:val="Placeholder Text"/>
    <w:basedOn w:val="DefaultParagraphFont"/>
    <w:uiPriority w:val="99"/>
    <w:semiHidden/>
    <w:rsid w:val="003924D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B82D1.3E9576C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Mis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05096D-773F-4C5D-A1FF-51EDCDC9A3B3}">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2.xml><?xml version="1.0" encoding="utf-8"?>
<ds:datastoreItem xmlns:ds="http://schemas.openxmlformats.org/officeDocument/2006/customXml" ds:itemID="{ED012F14-1A12-4E8F-A673-623AD1C9104F}">
  <ds:schemaRefs>
    <ds:schemaRef ds:uri="http://schemas.openxmlformats.org/officeDocument/2006/bibliography"/>
  </ds:schemaRefs>
</ds:datastoreItem>
</file>

<file path=customXml/itemProps3.xml><?xml version="1.0" encoding="utf-8"?>
<ds:datastoreItem xmlns:ds="http://schemas.openxmlformats.org/officeDocument/2006/customXml" ds:itemID="{B889CC36-CC48-4B63-A723-6B7A36F9A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71EB0-96B6-4102-8241-1FCF105F38C2}">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2759</Words>
  <Characters>15727</Characters>
  <Application>Microsoft Office Word</Application>
  <DocSecurity>4</DocSecurity>
  <Lines>131</Lines>
  <Paragraphs>36</Paragraphs>
  <ScaleCrop>false</ScaleCrop>
  <Company>ETSI Sophia Antipolis</Company>
  <LinksUpToDate>false</LinksUpToDate>
  <CharactersWithSpaces>18450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Rhodes, Alexander</cp:lastModifiedBy>
  <cp:revision>202</cp:revision>
  <cp:lastPrinted>1900-01-02T08:00:00Z</cp:lastPrinted>
  <dcterms:created xsi:type="dcterms:W3CDTF">2024-10-24T11:56:00Z</dcterms:created>
  <dcterms:modified xsi:type="dcterms:W3CDTF">2025-03-28T10:18:00Z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0x01010096779F4CD3FCD648AB6B67EC298EDD29</vt:lpwstr>
  </property>
  <property fmtid="{D5CDD505-2E9C-101B-9397-08002B2CF9AE}" pid="3" name="MediaServiceImageTags">
    <vt:lpwstr/>
  </property>
  <property fmtid="{D5CDD505-2E9C-101B-9397-08002B2CF9AE}" pid="4" name="_ExtendedDescription">
    <vt:lpwstr/>
  </property>
</Properties>
</file>